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2002" w14:textId="77777777" w:rsidR="0078541A" w:rsidRPr="00C1577A" w:rsidRDefault="0078541A" w:rsidP="0078541A">
      <w:pPr>
        <w:tabs>
          <w:tab w:val="left" w:pos="1166"/>
        </w:tabs>
        <w:spacing w:line="276" w:lineRule="auto"/>
        <w:rPr>
          <w:b/>
          <w:bCs/>
          <w:lang w:val="en-GB"/>
        </w:rPr>
      </w:pPr>
      <w:r>
        <w:rPr>
          <w:b/>
          <w:bCs/>
          <w:lang w:val="en-GB"/>
        </w:rPr>
        <w:t>Supplementary File 17</w:t>
      </w:r>
    </w:p>
    <w:p w14:paraId="6AB2D4CD" w14:textId="77777777" w:rsidR="0078541A" w:rsidRPr="00313572" w:rsidRDefault="0078541A" w:rsidP="0078541A">
      <w:pPr>
        <w:spacing w:line="276" w:lineRule="auto"/>
        <w:rPr>
          <w:rFonts w:cs="Arial"/>
          <w:i/>
          <w:iCs/>
          <w:color w:val="000000" w:themeColor="text1"/>
          <w:sz w:val="22"/>
          <w:szCs w:val="22"/>
          <w:lang w:val="en-GB"/>
        </w:rPr>
      </w:pPr>
      <w:r w:rsidRPr="00313572">
        <w:rPr>
          <w:rFonts w:cs="Arial"/>
          <w:i/>
          <w:iCs/>
          <w:color w:val="000000" w:themeColor="text1"/>
          <w:sz w:val="22"/>
          <w:szCs w:val="22"/>
          <w:lang w:val="en-GB"/>
        </w:rPr>
        <w:t xml:space="preserve">Statistical overview of the main and interaction effects of the linear mixed effects models </w:t>
      </w:r>
      <w:r w:rsidRPr="00313572">
        <w:rPr>
          <w:rFonts w:cs="Arial"/>
          <w:b/>
          <w:bCs/>
          <w:i/>
          <w:iCs/>
          <w:color w:val="000000" w:themeColor="text1"/>
          <w:sz w:val="22"/>
          <w:szCs w:val="22"/>
          <w:lang w:val="en-GB"/>
        </w:rPr>
        <w:t>for remote &gt; recent</w:t>
      </w:r>
      <w:r w:rsidRPr="00313572">
        <w:rPr>
          <w:rFonts w:cs="Arial"/>
          <w:i/>
          <w:iCs/>
          <w:color w:val="000000" w:themeColor="text1"/>
          <w:sz w:val="22"/>
          <w:szCs w:val="22"/>
          <w:lang w:val="en-GB"/>
        </w:rPr>
        <w:t xml:space="preserve"> univariate results for correctly recognized items (based on the pipeline without global signal).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992"/>
        <w:gridCol w:w="993"/>
        <w:gridCol w:w="992"/>
        <w:gridCol w:w="904"/>
        <w:gridCol w:w="881"/>
        <w:gridCol w:w="720"/>
      </w:tblGrid>
      <w:tr w:rsidR="0078541A" w:rsidRPr="00313572" w14:paraId="0FABDB69" w14:textId="77777777" w:rsidTr="00380E10">
        <w:tc>
          <w:tcPr>
            <w:tcW w:w="255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9AA1C6" w14:textId="77777777" w:rsidR="0078541A" w:rsidRPr="00313572" w:rsidRDefault="0078541A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3D18F2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Main Effect</w:t>
            </w:r>
          </w:p>
          <w:p w14:paraId="7EF2EAF4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of Group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2C9A30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Main Effect</w:t>
            </w:r>
          </w:p>
          <w:p w14:paraId="7223ED8A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of Session</w:t>
            </w:r>
          </w:p>
        </w:tc>
        <w:tc>
          <w:tcPr>
            <w:tcW w:w="178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75CB99F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Group x Session Interaction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B49F794" w14:textId="77777777" w:rsidR="0078541A" w:rsidRPr="00313572" w:rsidRDefault="0078541A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8541A" w:rsidRPr="00313572" w14:paraId="01A2C3B9" w14:textId="77777777" w:rsidTr="00380E10">
        <w:trPr>
          <w:trHeight w:val="33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FB2C" w14:textId="77777777" w:rsidR="0078541A" w:rsidRPr="00313572" w:rsidRDefault="0078541A" w:rsidP="00380E10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Regions of Interest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CB162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DD3BE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10361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B7488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26C83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98EAB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30EFD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R2</w:t>
            </w:r>
          </w:p>
        </w:tc>
      </w:tr>
      <w:tr w:rsidR="0078541A" w:rsidRPr="00313572" w14:paraId="2ED35816" w14:textId="77777777" w:rsidTr="00380E10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B5271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Hippocampus Anterior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6A8C5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.002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56C33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 xml:space="preserve">  .963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(.956)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4CA3F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.081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FDE66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.776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(.862)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3F780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.034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ABA80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.853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(.930)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1818A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shd w:val="clear" w:color="auto" w:fill="FFFFFF"/>
              </w:rPr>
              <w:t>.01</w:t>
            </w:r>
            <w:r w:rsidRPr="00313572">
              <w:rPr>
                <w:color w:val="000000" w:themeColor="text1"/>
                <w:sz w:val="18"/>
                <w:szCs w:val="18"/>
                <w:lang w:val="en-GB"/>
              </w:rPr>
              <w:sym w:font="Symbol" w:char="F0C7"/>
            </w:r>
          </w:p>
        </w:tc>
      </w:tr>
      <w:tr w:rsidR="0078541A" w:rsidRPr="00313572" w14:paraId="7524D8A4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CE70C5F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Hippocampus Posterior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D2842F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.151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25D9AA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.698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(.893)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1C1962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.528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06C182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.468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(.669)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3A6A33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.006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6308F56D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.930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(.930)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BC3AB3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.04</w:t>
            </w:r>
            <w:r w:rsidRPr="00313572">
              <w:rPr>
                <w:color w:val="000000" w:themeColor="text1"/>
                <w:sz w:val="18"/>
                <w:szCs w:val="18"/>
                <w:lang w:val="en-GB"/>
              </w:rPr>
              <w:sym w:font="Symbol" w:char="F0C7"/>
            </w:r>
          </w:p>
        </w:tc>
      </w:tr>
      <w:tr w:rsidR="0078541A" w:rsidRPr="00313572" w14:paraId="306BD1DB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197EFD6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Parahippocampal Gyrus Anterior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D89991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.153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882BAF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.696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(.893)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00DAE1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.01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D9986C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.936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(.936)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CB920ED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.013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15311F0F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.910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(.930)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8138C6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.013</w:t>
            </w:r>
            <w:r w:rsidRPr="00313572">
              <w:rPr>
                <w:color w:val="000000" w:themeColor="text1"/>
                <w:sz w:val="18"/>
                <w:szCs w:val="18"/>
                <w:lang w:val="en-GB"/>
              </w:rPr>
              <w:sym w:font="Symbol" w:char="F0C7"/>
            </w:r>
          </w:p>
        </w:tc>
      </w:tr>
      <w:tr w:rsidR="0078541A" w:rsidRPr="00313572" w14:paraId="51299647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5E94CD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Parahippocampal Gyrus Posterior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7F58EF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.898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83A836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.345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(.690)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D8DBDD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3.31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776243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.071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(.236)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C0167ED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3.03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(1,85)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6CFCC2CA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.085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(.230)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C9BB77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.052</w:t>
            </w:r>
            <w:r w:rsidRPr="00313572">
              <w:rPr>
                <w:color w:val="000000" w:themeColor="text1"/>
                <w:sz w:val="18"/>
                <w:szCs w:val="18"/>
                <w:lang w:val="en-GB"/>
              </w:rPr>
              <w:sym w:font="Symbol" w:char="F05E"/>
            </w:r>
          </w:p>
        </w:tc>
      </w:tr>
      <w:tr w:rsidR="0078541A" w:rsidRPr="00313572" w14:paraId="4E462206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376F7A9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Medial Prefrontal Cortex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07EE61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2.20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50CCDD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.142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(.460)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D01B04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2.38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A95567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.125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(.213)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3E07F0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.374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(1,85)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46C372E1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.542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(.774)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1B02C5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.083</w:t>
            </w:r>
            <w:r w:rsidRPr="00313572">
              <w:rPr>
                <w:color w:val="000000" w:themeColor="text1"/>
                <w:sz w:val="18"/>
                <w:szCs w:val="18"/>
                <w:lang w:val="en-GB"/>
              </w:rPr>
              <w:sym w:font="Symbol" w:char="F05E"/>
            </w:r>
          </w:p>
        </w:tc>
      </w:tr>
      <w:tr w:rsidR="0078541A" w:rsidRPr="00313572" w14:paraId="705C9350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940D94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Ventrolateral Prefrontal Cortex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D9D8F6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20.37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(1,80)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6501F2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  <w:r w:rsidRPr="00313572">
              <w:rPr>
                <w:b/>
                <w:bCs/>
                <w:color w:val="000000" w:themeColor="text1"/>
                <w:sz w:val="18"/>
                <w:szCs w:val="18"/>
                <w:vertAlign w:val="subscript"/>
                <w:lang w:val="en-GB"/>
              </w:rPr>
              <w:t>(&lt;.001)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08A40A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8.70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89E888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.004</w:t>
            </w:r>
            <w:r w:rsidRPr="00313572">
              <w:rPr>
                <w:b/>
                <w:bCs/>
                <w:color w:val="000000" w:themeColor="text1"/>
                <w:sz w:val="18"/>
                <w:szCs w:val="18"/>
                <w:vertAlign w:val="subscript"/>
                <w:lang w:val="en-GB"/>
              </w:rPr>
              <w:t>(.02)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2AA552B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.921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(1,83)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7B920918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.340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(.675)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73C515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.269</w:t>
            </w:r>
            <w:r w:rsidRPr="00313572">
              <w:rPr>
                <w:color w:val="000000" w:themeColor="text1"/>
                <w:sz w:val="18"/>
                <w:szCs w:val="18"/>
                <w:lang w:val="en-GB"/>
              </w:rPr>
              <w:sym w:font="Symbol" w:char="F05E"/>
            </w:r>
          </w:p>
        </w:tc>
      </w:tr>
      <w:tr w:rsidR="0078541A" w:rsidRPr="00313572" w14:paraId="1AE07956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8C585A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Cerebellum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264AF0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0.08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15B5A7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.784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(.893)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E680B1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1.64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E3C28B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.202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(.404)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DAB29D5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3.07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3A70BA54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.082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(.230)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A8FC37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.063</w:t>
            </w:r>
            <w:r w:rsidRPr="00313572">
              <w:rPr>
                <w:color w:val="000000" w:themeColor="text1"/>
                <w:sz w:val="18"/>
                <w:szCs w:val="18"/>
                <w:lang w:val="en-GB"/>
              </w:rPr>
              <w:sym w:font="Symbol" w:char="F0C7"/>
            </w:r>
          </w:p>
        </w:tc>
      </w:tr>
      <w:tr w:rsidR="0078541A" w:rsidRPr="00313572" w14:paraId="6CC720A8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09BAA4A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Retrosplenial Cortex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E0AEC0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.06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9CDBBB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.804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(.893)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A688EC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.084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DFA678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.773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(.862)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A02102E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2.87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2C336C3C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.092</w:t>
            </w:r>
            <w:r w:rsidRPr="00313572">
              <w:rPr>
                <w:b/>
                <w:bCs/>
                <w:color w:val="000000" w:themeColor="text1"/>
                <w:sz w:val="18"/>
                <w:szCs w:val="18"/>
                <w:vertAlign w:val="subscript"/>
                <w:lang w:val="en-GB"/>
              </w:rPr>
              <w:t>(.230)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CC0420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.036</w:t>
            </w:r>
            <w:r w:rsidRPr="00313572">
              <w:rPr>
                <w:color w:val="000000" w:themeColor="text1"/>
                <w:sz w:val="18"/>
                <w:szCs w:val="18"/>
                <w:lang w:val="en-GB"/>
              </w:rPr>
              <w:sym w:font="Symbol" w:char="F0C7"/>
            </w:r>
          </w:p>
        </w:tc>
      </w:tr>
      <w:tr w:rsidR="0078541A" w:rsidRPr="00313572" w14:paraId="13848350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E3CAF7D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Precuneus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251BCF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1.78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A8C664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.184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(.460)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CFBD47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.568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9D0330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.452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(.669)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69043B2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.696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(1,161)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2781D5DD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.405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(.675)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F63CBA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.045</w:t>
            </w:r>
            <w:r w:rsidRPr="00313572">
              <w:rPr>
                <w:color w:val="000000" w:themeColor="text1"/>
                <w:sz w:val="18"/>
                <w:szCs w:val="18"/>
                <w:lang w:val="en-GB"/>
              </w:rPr>
              <w:sym w:font="Symbol" w:char="F0C7"/>
            </w:r>
          </w:p>
        </w:tc>
      </w:tr>
      <w:tr w:rsidR="0078541A" w:rsidRPr="00313572" w14:paraId="244273A3" w14:textId="77777777" w:rsidTr="00380E10"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AE6270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Lateral Occipital Cortex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33C61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4.53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(1,88)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018F9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.036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(.180)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AEA16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13.64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(1,111)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341D5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  <w:r w:rsidRPr="00313572">
              <w:rPr>
                <w:b/>
                <w:bCs/>
                <w:color w:val="000000" w:themeColor="text1"/>
                <w:sz w:val="18"/>
                <w:szCs w:val="18"/>
                <w:vertAlign w:val="subscript"/>
                <w:lang w:val="en-GB"/>
              </w:rPr>
              <w:t>(&lt;.001)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15B2D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3.62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(1,88)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39C2D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.060</w:t>
            </w:r>
            <w:r w:rsidRPr="00313572">
              <w:rPr>
                <w:color w:val="000000" w:themeColor="text1"/>
                <w:sz w:val="18"/>
                <w:szCs w:val="18"/>
                <w:vertAlign w:val="subscript"/>
                <w:lang w:val="en-GB"/>
              </w:rPr>
              <w:t>(.230)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B211E" w14:textId="77777777" w:rsidR="0078541A" w:rsidRPr="00313572" w:rsidRDefault="0078541A" w:rsidP="00380E1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.297</w:t>
            </w:r>
            <w:r w:rsidRPr="00313572">
              <w:rPr>
                <w:color w:val="000000" w:themeColor="text1"/>
                <w:sz w:val="18"/>
                <w:szCs w:val="18"/>
                <w:lang w:val="en-GB"/>
              </w:rPr>
              <w:sym w:font="Symbol" w:char="F05E"/>
            </w:r>
          </w:p>
        </w:tc>
      </w:tr>
    </w:tbl>
    <w:p w14:paraId="245AF1BC" w14:textId="77777777" w:rsidR="0078541A" w:rsidRPr="00313572" w:rsidRDefault="0078541A" w:rsidP="0078541A">
      <w:pPr>
        <w:tabs>
          <w:tab w:val="left" w:pos="1166"/>
        </w:tabs>
        <w:spacing w:line="276" w:lineRule="auto"/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3"/>
        <w:gridCol w:w="980"/>
        <w:gridCol w:w="588"/>
        <w:gridCol w:w="850"/>
        <w:gridCol w:w="705"/>
        <w:gridCol w:w="868"/>
        <w:gridCol w:w="705"/>
        <w:gridCol w:w="988"/>
        <w:gridCol w:w="799"/>
      </w:tblGrid>
      <w:tr w:rsidR="0078541A" w:rsidRPr="00313572" w14:paraId="2CD1EC42" w14:textId="77777777" w:rsidTr="00380E10">
        <w:tc>
          <w:tcPr>
            <w:tcW w:w="255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F871A4" w14:textId="77777777" w:rsidR="0078541A" w:rsidRPr="00313572" w:rsidRDefault="0078541A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6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92C9133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Main Effect</w:t>
            </w:r>
          </w:p>
          <w:p w14:paraId="0DCB053B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of Sex</w:t>
            </w:r>
          </w:p>
        </w:tc>
        <w:tc>
          <w:tcPr>
            <w:tcW w:w="155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09468A6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Main Effect</w:t>
            </w:r>
          </w:p>
          <w:p w14:paraId="187F7555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of Handedness</w:t>
            </w:r>
          </w:p>
        </w:tc>
        <w:tc>
          <w:tcPr>
            <w:tcW w:w="155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C50D3A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Main Effect</w:t>
            </w:r>
          </w:p>
          <w:p w14:paraId="5E99519F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of IQ</w:t>
            </w:r>
          </w:p>
        </w:tc>
        <w:tc>
          <w:tcPr>
            <w:tcW w:w="179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ADD1BA6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Main Effect</w:t>
            </w:r>
          </w:p>
          <w:p w14:paraId="4F7A95CE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Of</w:t>
            </w:r>
            <w:r w:rsidRPr="00313572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313572">
              <w:rPr>
                <w:b/>
                <w:bCs/>
                <w:color w:val="000000" w:themeColor="text1"/>
                <w:sz w:val="20"/>
                <w:szCs w:val="20"/>
              </w:rPr>
              <w:t>Reaction Time</w:t>
            </w:r>
          </w:p>
        </w:tc>
      </w:tr>
      <w:tr w:rsidR="0078541A" w:rsidRPr="00313572" w14:paraId="57175385" w14:textId="77777777" w:rsidTr="00380E10">
        <w:trPr>
          <w:trHeight w:val="33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17373" w14:textId="77777777" w:rsidR="0078541A" w:rsidRPr="00313572" w:rsidRDefault="0078541A" w:rsidP="00380E10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Regions of Interest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6C398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A5643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C4372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456F5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90072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2F09B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51FF5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7D5F0" w14:textId="77777777" w:rsidR="0078541A" w:rsidRPr="00313572" w:rsidRDefault="0078541A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</w:tr>
      <w:tr w:rsidR="0078541A" w:rsidRPr="00313572" w14:paraId="432BAAAB" w14:textId="77777777" w:rsidTr="00380E10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BEE68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Hippocampus Anterior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5E47F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.011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BB85F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.9155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D055B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.681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33CAA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.508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B1FFA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.036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6619B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.850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B6276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.293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CFE11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de-DE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.853</w:t>
            </w:r>
          </w:p>
        </w:tc>
      </w:tr>
      <w:tr w:rsidR="0078541A" w:rsidRPr="00313572" w14:paraId="595E564A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3F2973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Hippocampus Posterior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7B261DFB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.039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059141C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.843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651544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2.73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4EDBA27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0B5A57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.002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1956BDC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57AFDD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6B027C10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.940</w:t>
            </w:r>
          </w:p>
        </w:tc>
      </w:tr>
      <w:tr w:rsidR="0078541A" w:rsidRPr="00313572" w14:paraId="2FB6A2B5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321450E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Parahippocampal Gyrus Anterior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7E62DA56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.178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15F148C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.674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A409B7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.828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B157690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725E48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.027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B97E68A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D743C0A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.027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F300182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de-DE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.870</w:t>
            </w:r>
          </w:p>
        </w:tc>
      </w:tr>
      <w:tr w:rsidR="0078541A" w:rsidRPr="00313572" w14:paraId="5692308D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8CC25D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Parahippocampal Gyrus Posterior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0F091DA4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.042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(1,84)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BC2C45D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.838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F40EEF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.785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(1,93)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2EDB6ED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8F5C3E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.000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1,84)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AD28E90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.987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AB41490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.289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(1,155)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985A185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.598</w:t>
            </w:r>
          </w:p>
        </w:tc>
      </w:tr>
      <w:tr w:rsidR="0078541A" w:rsidRPr="00313572" w14:paraId="366511AD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5D64C5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Medial Prefrontal Cortex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36EFA159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.038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(1,87)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20DAD9F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.846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CA81E2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2.93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(1,95)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0E57BC4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EC9DEAF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1.71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(1,87)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17086D5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4F1A07B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.090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(1,160)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44A62EFA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de-DE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.765</w:t>
            </w:r>
          </w:p>
        </w:tc>
      </w:tr>
      <w:tr w:rsidR="0078541A" w:rsidRPr="00313572" w14:paraId="6126B4A0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63E00E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Ventrolateral Prefrontal Cortex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38975A7E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.008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(1,81)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17772B6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.928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7868E9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1.04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(1,90)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C5DA6B5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.357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D15587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.625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(1,81)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CCB0BE8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94CAC1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.029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(1,149)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B33112D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.864</w:t>
            </w:r>
          </w:p>
        </w:tc>
      </w:tr>
      <w:tr w:rsidR="0078541A" w:rsidRPr="00313572" w14:paraId="0FE2E52C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4EC50B1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Cerebellum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18E065BA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1.22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3AB58B9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.270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77AE57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.537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D68001E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.585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D967CD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.0001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46FE256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34AE64B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1.07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B71980C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.303</w:t>
            </w:r>
          </w:p>
        </w:tc>
      </w:tr>
      <w:tr w:rsidR="0078541A" w:rsidRPr="00313572" w14:paraId="647753E5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E7E702D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Retrosplenial Cortex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23A221C0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.309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1DF58D75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.579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4078A6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.749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4616C84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8CF9AA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.662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352D662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BF74F76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.310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9B01DE3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.579</w:t>
            </w:r>
          </w:p>
        </w:tc>
      </w:tr>
      <w:tr w:rsidR="0078541A" w:rsidRPr="00313572" w14:paraId="5808A73D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DA6E81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Precuneus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66CE1D6F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.323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0C4C0B9C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.570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6622CE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.856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5522F72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F316DC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.621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4C0C5B9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.432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6E0ED8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.007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33C36A2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.934</w:t>
            </w:r>
          </w:p>
        </w:tc>
      </w:tr>
      <w:tr w:rsidR="0078541A" w:rsidRPr="00313572" w14:paraId="1944EDAA" w14:textId="77777777" w:rsidTr="00380E10"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04A673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Lateral Occipital Cortex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727B11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.001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(1,88)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E82D97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29E1B5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1.13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(1,96)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C4AD27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338731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>7.40</w:t>
            </w:r>
            <w:r w:rsidRPr="00313572">
              <w:rPr>
                <w:b/>
                <w:bCs/>
                <w:color w:val="000000" w:themeColor="text1"/>
                <w:sz w:val="16"/>
                <w:szCs w:val="16"/>
                <w:vertAlign w:val="subscript"/>
                <w:lang w:val="en-GB"/>
              </w:rPr>
              <w:t>(1,87)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D603FF" w14:textId="77777777" w:rsidR="0078541A" w:rsidRPr="00313572" w:rsidRDefault="0078541A" w:rsidP="00380E10">
            <w:pPr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>.008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641306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.000</w:t>
            </w:r>
            <w:r w:rsidRPr="00313572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(1,159)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3A93CD" w14:textId="77777777" w:rsidR="0078541A" w:rsidRPr="00313572" w:rsidRDefault="0078541A" w:rsidP="00380E1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313572">
              <w:rPr>
                <w:color w:val="000000" w:themeColor="text1"/>
                <w:sz w:val="16"/>
                <w:szCs w:val="16"/>
                <w:lang w:val="en-GB"/>
              </w:rPr>
              <w:t>.986</w:t>
            </w:r>
          </w:p>
        </w:tc>
      </w:tr>
    </w:tbl>
    <w:p w14:paraId="045E47D9" w14:textId="77777777" w:rsidR="0078541A" w:rsidRPr="005205CA" w:rsidRDefault="0078541A" w:rsidP="0078541A">
      <w:pPr>
        <w:tabs>
          <w:tab w:val="left" w:pos="1166"/>
        </w:tabs>
        <w:spacing w:line="276" w:lineRule="auto"/>
        <w:rPr>
          <w:sz w:val="22"/>
          <w:szCs w:val="22"/>
          <w:lang w:val="uk-UA"/>
        </w:rPr>
      </w:pPr>
    </w:p>
    <w:p w14:paraId="2FF70AB1" w14:textId="77777777" w:rsidR="0078541A" w:rsidRDefault="0078541A" w:rsidP="0078541A">
      <w:pPr>
        <w:spacing w:line="276" w:lineRule="auto"/>
        <w:rPr>
          <w:sz w:val="20"/>
          <w:szCs w:val="20"/>
          <w:lang w:val="en-GB"/>
        </w:rPr>
      </w:pPr>
      <w:r w:rsidRPr="005205CA">
        <w:rPr>
          <w:i/>
          <w:iCs/>
          <w:sz w:val="20"/>
          <w:szCs w:val="20"/>
        </w:rPr>
        <w:t>Notes.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i/>
          <w:iCs/>
          <w:sz w:val="20"/>
          <w:szCs w:val="20"/>
        </w:rPr>
        <w:t>Notes.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sz w:val="20"/>
          <w:szCs w:val="20"/>
        </w:rPr>
        <w:t>Subject was included as random effect. Group (children, young adults), Session (Day 1 remote &gt; recent, Day 14 remote &gt; recent), and their interaction were included as fixed effect. The following reference levels where used: for Session – Day 1; for Group – Children; F – F-value; DF – degrees of freedom; p – p-value; FDR_adj – False Discovery Rate adjusted; R2 – amount of variance explained by the model (</w:t>
      </w:r>
      <w:r w:rsidRPr="005205CA">
        <w:rPr>
          <w:sz w:val="20"/>
          <w:szCs w:val="20"/>
          <w:lang w:val="en-GB"/>
        </w:rPr>
        <w:sym w:font="Symbol" w:char="F0C7"/>
      </w:r>
      <w:r w:rsidRPr="005205CA">
        <w:rPr>
          <w:sz w:val="20"/>
          <w:szCs w:val="20"/>
          <w:lang w:val="en-GB"/>
        </w:rPr>
        <w:t xml:space="preserve">- marginal; </w:t>
      </w:r>
      <w:r w:rsidRPr="005205CA">
        <w:rPr>
          <w:sz w:val="20"/>
          <w:szCs w:val="20"/>
          <w:lang w:val="en-GB"/>
        </w:rPr>
        <w:sym w:font="Symbol" w:char="F05E"/>
      </w:r>
      <w:r w:rsidRPr="005205CA">
        <w:rPr>
          <w:sz w:val="20"/>
          <w:szCs w:val="20"/>
          <w:lang w:val="en-GB"/>
        </w:rPr>
        <w:t xml:space="preserve"> - conditional)</w:t>
      </w:r>
      <w:r w:rsidRPr="005205CA">
        <w:rPr>
          <w:sz w:val="20"/>
          <w:szCs w:val="20"/>
        </w:rPr>
        <w:t>. Type III Analysis of Variance Table with Satterthwaite’s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sz w:val="20"/>
          <w:szCs w:val="20"/>
        </w:rPr>
        <w:t>method</w:t>
      </w:r>
      <w:r w:rsidRPr="005205CA">
        <w:rPr>
          <w:sz w:val="20"/>
          <w:szCs w:val="20"/>
          <w:lang w:val="en-GB"/>
        </w:rPr>
        <w:t xml:space="preserve">. </w:t>
      </w:r>
      <w:r w:rsidRPr="005205CA">
        <w:rPr>
          <w:sz w:val="20"/>
          <w:szCs w:val="20"/>
        </w:rPr>
        <w:t>*p &lt; .05; ** &lt;.01, ***&lt;.001 (significant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sz w:val="20"/>
          <w:szCs w:val="20"/>
        </w:rPr>
        <w:t>difference)</w:t>
      </w:r>
      <w:r w:rsidRPr="005205CA">
        <w:rPr>
          <w:sz w:val="20"/>
          <w:szCs w:val="20"/>
          <w:lang w:val="en-GB"/>
        </w:rPr>
        <w:t xml:space="preserve">. All p-values of main and interactions effects were FDR-adjusted for multiple comparisons. </w:t>
      </w:r>
    </w:p>
    <w:p w14:paraId="3361E2A2" w14:textId="77777777" w:rsidR="0078541A" w:rsidRPr="005205CA" w:rsidRDefault="0078541A" w:rsidP="0078541A">
      <w:pPr>
        <w:tabs>
          <w:tab w:val="left" w:pos="1166"/>
        </w:tabs>
        <w:spacing w:line="276" w:lineRule="auto"/>
        <w:jc w:val="both"/>
        <w:rPr>
          <w:sz w:val="20"/>
          <w:szCs w:val="20"/>
          <w:lang w:val="en-GB"/>
        </w:rPr>
      </w:pPr>
    </w:p>
    <w:p w14:paraId="7A3DE4AC" w14:textId="1E9DC5AA" w:rsidR="0099514C" w:rsidRPr="0099514C" w:rsidRDefault="0099514C" w:rsidP="0099514C">
      <w:pPr>
        <w:spacing w:line="276" w:lineRule="auto"/>
        <w:rPr>
          <w:lang w:val="en-GB"/>
        </w:rPr>
      </w:pPr>
    </w:p>
    <w:p w14:paraId="337A85A2" w14:textId="77777777" w:rsidR="0099514C" w:rsidRPr="00152767" w:rsidRDefault="0099514C" w:rsidP="0099514C">
      <w:pPr>
        <w:spacing w:line="276" w:lineRule="auto"/>
        <w:rPr>
          <w:sz w:val="20"/>
          <w:szCs w:val="20"/>
          <w:lang w:val="de-DE"/>
        </w:rPr>
      </w:pPr>
      <w:r>
        <w:rPr>
          <w:noProof/>
          <w:sz w:val="20"/>
          <w:szCs w:val="20"/>
          <w:lang w:val="de-DE"/>
        </w:rPr>
        <w:lastRenderedPageBreak/>
        <w:drawing>
          <wp:inline distT="0" distB="0" distL="0" distR="0" wp14:anchorId="631D01B2" wp14:editId="6AD6F93B">
            <wp:extent cx="5731510" cy="2886710"/>
            <wp:effectExtent l="0" t="0" r="0" b="0"/>
            <wp:docPr id="3250431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43145" name="Picture 3250431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de-DE"/>
        </w:rPr>
        <w:drawing>
          <wp:inline distT="0" distB="0" distL="0" distR="0" wp14:anchorId="54243808" wp14:editId="0C865E74">
            <wp:extent cx="5731510" cy="3062605"/>
            <wp:effectExtent l="0" t="0" r="0" b="0"/>
            <wp:docPr id="4341594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59497" name="Picture 4341594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567F2" w14:textId="77777777" w:rsidR="0099514C" w:rsidRDefault="0099514C" w:rsidP="0099514C">
      <w:pPr>
        <w:spacing w:line="276" w:lineRule="auto"/>
        <w:rPr>
          <w:sz w:val="20"/>
          <w:szCs w:val="20"/>
        </w:rPr>
      </w:pPr>
    </w:p>
    <w:p w14:paraId="1351B5CA" w14:textId="77777777" w:rsidR="0099514C" w:rsidRPr="00313572" w:rsidRDefault="0099514C" w:rsidP="0099514C">
      <w:pPr>
        <w:rPr>
          <w:rFonts w:cs="Arial"/>
          <w:color w:val="000000" w:themeColor="text1"/>
          <w:lang w:val="en-GB"/>
        </w:rPr>
      </w:pPr>
      <w:r w:rsidRPr="00313572">
        <w:rPr>
          <w:rFonts w:cs="Arial"/>
          <w:b/>
          <w:bCs/>
          <w:color w:val="000000" w:themeColor="text1"/>
          <w:sz w:val="20"/>
          <w:szCs w:val="20"/>
          <w:lang w:val="en-GB"/>
        </w:rPr>
        <w:t>Mean Signal Differences Between Correct Remote and Recent Memories (without global signal in preprocessing)</w:t>
      </w:r>
      <w:r w:rsidRPr="00313572">
        <w:rPr>
          <w:rFonts w:cs="Arial"/>
          <w:b/>
          <w:bCs/>
          <w:color w:val="000000" w:themeColor="text1"/>
          <w:lang w:val="en-GB"/>
        </w:rPr>
        <w:t>.</w:t>
      </w:r>
      <w:r w:rsidRPr="00313572">
        <w:rPr>
          <w:rFonts w:cs="Arial"/>
          <w:color w:val="000000" w:themeColor="text1"/>
          <w:lang w:val="en-GB"/>
        </w:rPr>
        <w:t xml:space="preserve"> </w:t>
      </w:r>
      <w:r w:rsidRPr="00313572">
        <w:rPr>
          <w:rFonts w:cs="Arial"/>
          <w:color w:val="000000" w:themeColor="text1"/>
          <w:sz w:val="20"/>
          <w:szCs w:val="20"/>
          <w:lang w:val="en-GB"/>
        </w:rPr>
        <w:t xml:space="preserve">The figure presents mean signal difference for remote &gt; recent contrast across sessions and groups during the object presentation time window in </w:t>
      </w:r>
      <w:r w:rsidRPr="00313572">
        <w:rPr>
          <w:rFonts w:cs="Arial"/>
          <w:b/>
          <w:bCs/>
          <w:color w:val="000000" w:themeColor="text1"/>
          <w:sz w:val="20"/>
          <w:szCs w:val="20"/>
          <w:lang w:val="en-GB"/>
        </w:rPr>
        <w:t>(A)</w:t>
      </w:r>
      <w:r w:rsidRPr="00313572">
        <w:rPr>
          <w:rFonts w:cs="Arial"/>
          <w:color w:val="000000" w:themeColor="text1"/>
          <w:sz w:val="20"/>
          <w:szCs w:val="20"/>
          <w:lang w:val="en-GB"/>
        </w:rPr>
        <w:t xml:space="preserve"> Anterior and Posterior Hippocampus; (</w:t>
      </w:r>
      <w:r w:rsidRPr="00313572">
        <w:rPr>
          <w:rFonts w:cs="Arial"/>
          <w:b/>
          <w:bCs/>
          <w:color w:val="000000" w:themeColor="text1"/>
          <w:sz w:val="20"/>
          <w:szCs w:val="20"/>
          <w:lang w:val="en-GB"/>
        </w:rPr>
        <w:t>B</w:t>
      </w:r>
      <w:r w:rsidRPr="00313572">
        <w:rPr>
          <w:rFonts w:cs="Arial"/>
          <w:color w:val="000000" w:themeColor="text1"/>
          <w:sz w:val="20"/>
          <w:szCs w:val="20"/>
          <w:lang w:val="en-GB"/>
        </w:rPr>
        <w:t xml:space="preserve">) Anterior and Posterior Parahippocampal Gyrus; </w:t>
      </w:r>
      <w:r w:rsidRPr="00313572">
        <w:rPr>
          <w:rFonts w:cs="Arial"/>
          <w:b/>
          <w:bCs/>
          <w:color w:val="000000" w:themeColor="text1"/>
          <w:sz w:val="20"/>
          <w:szCs w:val="20"/>
          <w:lang w:val="en-GB"/>
        </w:rPr>
        <w:t>(C)</w:t>
      </w:r>
      <w:r w:rsidRPr="00313572">
        <w:rPr>
          <w:rFonts w:cs="Arial"/>
          <w:color w:val="000000" w:themeColor="text1"/>
          <w:sz w:val="20"/>
          <w:szCs w:val="20"/>
          <w:lang w:val="en-GB"/>
        </w:rPr>
        <w:t xml:space="preserve"> Cerebellum; </w:t>
      </w:r>
      <w:r w:rsidRPr="00313572">
        <w:rPr>
          <w:rFonts w:cs="Arial"/>
          <w:b/>
          <w:bCs/>
          <w:color w:val="000000" w:themeColor="text1"/>
          <w:sz w:val="20"/>
          <w:szCs w:val="20"/>
          <w:lang w:val="en-GB"/>
        </w:rPr>
        <w:t>(D)</w:t>
      </w:r>
      <w:r w:rsidRPr="00313572">
        <w:rPr>
          <w:rFonts w:cs="Arial"/>
          <w:color w:val="000000" w:themeColor="text1"/>
          <w:sz w:val="20"/>
          <w:szCs w:val="20"/>
          <w:lang w:val="en-GB"/>
        </w:rPr>
        <w:t xml:space="preserve"> Medial Prefrontal Cortex; </w:t>
      </w:r>
      <w:r w:rsidRPr="00313572">
        <w:rPr>
          <w:rFonts w:cs="Arial"/>
          <w:b/>
          <w:bCs/>
          <w:color w:val="000000" w:themeColor="text1"/>
          <w:sz w:val="20"/>
          <w:szCs w:val="20"/>
          <w:lang w:val="en-GB"/>
        </w:rPr>
        <w:t xml:space="preserve">(E) </w:t>
      </w:r>
      <w:r w:rsidRPr="00313572">
        <w:rPr>
          <w:rFonts w:cs="Arial"/>
          <w:color w:val="000000" w:themeColor="text1"/>
          <w:sz w:val="20"/>
          <w:szCs w:val="20"/>
          <w:lang w:val="en-GB"/>
        </w:rPr>
        <w:t xml:space="preserve">Ventrolateral Prefrontal Cortex; </w:t>
      </w:r>
      <w:r w:rsidRPr="00313572">
        <w:rPr>
          <w:rFonts w:cs="Arial"/>
          <w:b/>
          <w:bCs/>
          <w:color w:val="000000" w:themeColor="text1"/>
          <w:sz w:val="20"/>
          <w:szCs w:val="20"/>
          <w:lang w:val="en-GB"/>
        </w:rPr>
        <w:t xml:space="preserve">(F) </w:t>
      </w:r>
      <w:r w:rsidRPr="00313572">
        <w:rPr>
          <w:rFonts w:cs="Arial"/>
          <w:color w:val="000000" w:themeColor="text1"/>
          <w:sz w:val="20"/>
          <w:szCs w:val="20"/>
          <w:lang w:val="en-GB"/>
        </w:rPr>
        <w:t xml:space="preserve">Precuneus; </w:t>
      </w:r>
      <w:r w:rsidRPr="00313572">
        <w:rPr>
          <w:rFonts w:cs="Arial"/>
          <w:b/>
          <w:bCs/>
          <w:color w:val="000000" w:themeColor="text1"/>
          <w:sz w:val="20"/>
          <w:szCs w:val="20"/>
          <w:lang w:val="en-GB"/>
        </w:rPr>
        <w:t>(G)</w:t>
      </w:r>
      <w:r w:rsidRPr="00313572">
        <w:rPr>
          <w:rFonts w:cs="Arial"/>
          <w:color w:val="000000" w:themeColor="text1"/>
          <w:sz w:val="20"/>
          <w:szCs w:val="20"/>
          <w:lang w:val="en-GB"/>
        </w:rPr>
        <w:t xml:space="preserve"> Retrosplenial Cortex; </w:t>
      </w:r>
      <w:r w:rsidRPr="00313572">
        <w:rPr>
          <w:rFonts w:cs="Arial"/>
          <w:b/>
          <w:bCs/>
          <w:color w:val="000000" w:themeColor="text1"/>
          <w:sz w:val="20"/>
          <w:szCs w:val="20"/>
          <w:lang w:val="en-GB"/>
        </w:rPr>
        <w:t>(H)</w:t>
      </w:r>
      <w:r w:rsidRPr="00313572">
        <w:rPr>
          <w:rFonts w:cs="Arial"/>
          <w:color w:val="000000" w:themeColor="text1"/>
          <w:sz w:val="20"/>
          <w:szCs w:val="20"/>
          <w:lang w:val="en-GB"/>
        </w:rPr>
        <w:t xml:space="preserve"> Lateral Occipital Cortex. </w:t>
      </w:r>
      <w:r w:rsidRPr="00313572">
        <w:rPr>
          <w:rFonts w:cs="Arial"/>
          <w:i/>
          <w:iCs/>
          <w:color w:val="000000" w:themeColor="text1"/>
          <w:sz w:val="20"/>
          <w:szCs w:val="20"/>
          <w:lang w:val="en-GB"/>
        </w:rPr>
        <w:t>Note:</w:t>
      </w:r>
      <w:r w:rsidRPr="00313572">
        <w:rPr>
          <w:color w:val="000000" w:themeColor="text1"/>
          <w:sz w:val="18"/>
          <w:szCs w:val="18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  <w:lang w:val="en-GB"/>
        </w:rPr>
        <w:t xml:space="preserve">Bars indicate the group mean for each session (solid lines for Day 1, dashed lines for Day 14), plotted separately for children and young adults. Error bars represent ±1 standard error of the mean. The colour indicated the age groups: purple for children and khaki yellow for young adults. Across all panels, mean of individual subject data are shown with transparent points. The connecting faint lines reflect within-subject differences across sessions. Orange asterisks denote significant difference of </w:t>
      </w:r>
      <w:r w:rsidRPr="00313572">
        <w:rPr>
          <w:b/>
          <w:bCs/>
          <w:color w:val="000000" w:themeColor="text1"/>
          <w:sz w:val="20"/>
          <w:szCs w:val="20"/>
          <w:lang w:val="en-GB"/>
        </w:rPr>
        <w:t>remote &gt; recent</w:t>
      </w:r>
      <w:r w:rsidRPr="00313572">
        <w:rPr>
          <w:color w:val="000000" w:themeColor="text1"/>
          <w:sz w:val="20"/>
          <w:szCs w:val="20"/>
          <w:lang w:val="en-GB"/>
        </w:rPr>
        <w:t xml:space="preserve"> contrast from zero. An upward orange arrow indicates that this difference is greater than zero, while a downward arrow indicates that this is less than zero. </w:t>
      </w:r>
      <w:r w:rsidRPr="00313572">
        <w:rPr>
          <w:color w:val="000000" w:themeColor="text1"/>
          <w:sz w:val="20"/>
          <w:szCs w:val="20"/>
        </w:rPr>
        <w:t>*</w:t>
      </w:r>
      <w:r w:rsidRPr="00313572">
        <w:rPr>
          <w:i/>
          <w:color w:val="000000" w:themeColor="text1"/>
          <w:sz w:val="20"/>
          <w:szCs w:val="20"/>
        </w:rPr>
        <w:t>p</w:t>
      </w:r>
      <w:r w:rsidRPr="00313572">
        <w:rPr>
          <w:color w:val="000000" w:themeColor="text1"/>
          <w:sz w:val="20"/>
          <w:szCs w:val="20"/>
        </w:rPr>
        <w:t> &lt; .05; **</w:t>
      </w:r>
      <w:r w:rsidRPr="00313572">
        <w:rPr>
          <w:i/>
          <w:color w:val="000000" w:themeColor="text1"/>
          <w:sz w:val="20"/>
          <w:szCs w:val="20"/>
        </w:rPr>
        <w:t>p</w:t>
      </w:r>
      <w:r w:rsidRPr="00313572">
        <w:rPr>
          <w:color w:val="000000" w:themeColor="text1"/>
          <w:sz w:val="20"/>
          <w:szCs w:val="20"/>
        </w:rPr>
        <w:t> &lt; .01; ***</w:t>
      </w:r>
      <w:r w:rsidRPr="00313572">
        <w:rPr>
          <w:i/>
          <w:color w:val="000000" w:themeColor="text1"/>
          <w:sz w:val="20"/>
          <w:szCs w:val="20"/>
        </w:rPr>
        <w:t>p</w:t>
      </w:r>
      <w:r w:rsidRPr="00313572">
        <w:rPr>
          <w:color w:val="000000" w:themeColor="text1"/>
          <w:sz w:val="20"/>
          <w:szCs w:val="20"/>
        </w:rPr>
        <w:t xml:space="preserve"> &lt; .001(significant difference); non-significant differences were not specifically highlighted. Significant main and interaction effects are highlighted by the corresponding asterisks. All main and interaction p-values were FDR-adjusted for multiple comparisons. </w:t>
      </w:r>
    </w:p>
    <w:p w14:paraId="40B7B810" w14:textId="77777777" w:rsidR="0099514C" w:rsidRPr="00313572" w:rsidRDefault="0099514C" w:rsidP="0099514C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58E404F" w14:textId="77777777" w:rsidR="001209BA" w:rsidRDefault="001209BA"/>
    <w:sectPr w:rsidR="0012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1A"/>
    <w:rsid w:val="001209BA"/>
    <w:rsid w:val="00305789"/>
    <w:rsid w:val="005E113E"/>
    <w:rsid w:val="006B36CC"/>
    <w:rsid w:val="006F18BF"/>
    <w:rsid w:val="0078541A"/>
    <w:rsid w:val="008D01CF"/>
    <w:rsid w:val="009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3D9627"/>
  <w15:chartTrackingRefBased/>
  <w15:docId w15:val="{E5FA7AE2-0D0D-3847-88D1-F8BA0317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1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4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4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4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4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4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4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4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41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41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41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41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41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41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41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41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41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854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541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4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541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8541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41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8541A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5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41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854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541A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2</cp:revision>
  <dcterms:created xsi:type="dcterms:W3CDTF">2025-11-19T18:13:00Z</dcterms:created>
  <dcterms:modified xsi:type="dcterms:W3CDTF">2025-11-19T18:16:00Z</dcterms:modified>
</cp:coreProperties>
</file>