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24E5" w14:textId="69F122AC" w:rsidR="00875515" w:rsidRPr="005205CA" w:rsidRDefault="00875515" w:rsidP="00875515">
      <w:pPr>
        <w:rPr>
          <w:rFonts w:cs="Arial"/>
          <w:lang w:val="en-GB"/>
        </w:rPr>
      </w:pPr>
      <w:r>
        <w:rPr>
          <w:rFonts w:cs="Arial"/>
          <w:lang w:val="en-GB"/>
        </w:rPr>
        <w:t>Supplementary File 9</w:t>
      </w:r>
    </w:p>
    <w:p w14:paraId="41605DC1" w14:textId="77777777" w:rsidR="00875515" w:rsidRPr="005205CA" w:rsidRDefault="00875515" w:rsidP="00875515">
      <w:pPr>
        <w:spacing w:line="276" w:lineRule="auto"/>
        <w:rPr>
          <w:rFonts w:cs="Arial"/>
          <w:i/>
          <w:iCs/>
          <w:sz w:val="22"/>
          <w:szCs w:val="22"/>
          <w:lang w:val="en-GB"/>
        </w:rPr>
      </w:pPr>
      <w:r w:rsidRPr="005205CA">
        <w:rPr>
          <w:rFonts w:cs="Arial"/>
          <w:i/>
          <w:iCs/>
          <w:sz w:val="22"/>
          <w:szCs w:val="22"/>
          <w:lang w:val="en-GB"/>
        </w:rPr>
        <w:t>Statistical overview of the main and interaction effects of the linear mixed effects model for scene-specific reinstatement.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68"/>
        <w:gridCol w:w="1046"/>
        <w:gridCol w:w="800"/>
        <w:gridCol w:w="1146"/>
        <w:gridCol w:w="702"/>
        <w:gridCol w:w="1134"/>
        <w:gridCol w:w="708"/>
        <w:gridCol w:w="1013"/>
        <w:gridCol w:w="641"/>
        <w:gridCol w:w="568"/>
      </w:tblGrid>
      <w:tr w:rsidR="00875515" w:rsidRPr="005205CA" w14:paraId="3D8CAFCF" w14:textId="77777777" w:rsidTr="00380E10">
        <w:tc>
          <w:tcPr>
            <w:tcW w:w="1268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28F980DE" w14:textId="77777777" w:rsidR="00875515" w:rsidRPr="005205CA" w:rsidRDefault="00875515" w:rsidP="00380E10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06D190A1" w14:textId="77777777" w:rsidR="00875515" w:rsidRPr="005205CA" w:rsidRDefault="00875515" w:rsidP="00380E10">
            <w:pPr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 xml:space="preserve">Main Effect </w:t>
            </w:r>
          </w:p>
          <w:p w14:paraId="30A62B02" w14:textId="77777777" w:rsidR="00875515" w:rsidRPr="005205CA" w:rsidRDefault="00875515" w:rsidP="00380E10">
            <w:pPr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 xml:space="preserve">of Group </w:t>
            </w:r>
          </w:p>
        </w:tc>
        <w:tc>
          <w:tcPr>
            <w:tcW w:w="1848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71CCC03E" w14:textId="77777777" w:rsidR="00875515" w:rsidRPr="005205CA" w:rsidRDefault="00875515" w:rsidP="00380E10">
            <w:pPr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 xml:space="preserve">Main Effect </w:t>
            </w:r>
          </w:p>
          <w:p w14:paraId="56F80687" w14:textId="77777777" w:rsidR="00875515" w:rsidRPr="005205CA" w:rsidRDefault="00875515" w:rsidP="00380E10">
            <w:pPr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 xml:space="preserve">of Session 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041F5A90" w14:textId="77777777" w:rsidR="00875515" w:rsidRPr="005205CA" w:rsidRDefault="00875515" w:rsidP="00380E10">
            <w:pPr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Group x Session Interaction</w:t>
            </w:r>
          </w:p>
        </w:tc>
        <w:tc>
          <w:tcPr>
            <w:tcW w:w="1654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41E200E8" w14:textId="77777777" w:rsidR="00875515" w:rsidRPr="005205CA" w:rsidRDefault="00875515" w:rsidP="00380E10">
            <w:pPr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 xml:space="preserve">Main Effect </w:t>
            </w:r>
          </w:p>
          <w:p w14:paraId="16499FC6" w14:textId="77777777" w:rsidR="00875515" w:rsidRPr="005205CA" w:rsidRDefault="00875515" w:rsidP="00380E10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of BOLD activation</w:t>
            </w:r>
          </w:p>
        </w:tc>
        <w:tc>
          <w:tcPr>
            <w:tcW w:w="568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21831A17" w14:textId="77777777" w:rsidR="00875515" w:rsidRPr="005205CA" w:rsidRDefault="00875515" w:rsidP="00380E10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75515" w:rsidRPr="005205CA" w14:paraId="0FA3E9AA" w14:textId="77777777" w:rsidTr="00380E10"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16EAA" w14:textId="77777777" w:rsidR="00875515" w:rsidRPr="005205CA" w:rsidRDefault="00875515" w:rsidP="00380E10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i/>
                <w:iCs/>
                <w:sz w:val="20"/>
                <w:szCs w:val="20"/>
                <w:lang w:val="en-GB"/>
              </w:rPr>
              <w:t>Regions of Interest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F6120" w14:textId="77777777" w:rsidR="00875515" w:rsidRPr="005205CA" w:rsidRDefault="00875515" w:rsidP="00380E10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F</w:t>
            </w:r>
            <w:r w:rsidRPr="005205CA">
              <w:rPr>
                <w:i/>
                <w:iCs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DDBA6" w14:textId="77777777" w:rsidR="00875515" w:rsidRPr="005205CA" w:rsidRDefault="00875515" w:rsidP="00380E10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p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02CAC" w14:textId="77777777" w:rsidR="00875515" w:rsidRPr="005205CA" w:rsidRDefault="00875515" w:rsidP="00380E10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F</w:t>
            </w:r>
            <w:r w:rsidRPr="005205CA">
              <w:rPr>
                <w:i/>
                <w:iCs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E9341" w14:textId="77777777" w:rsidR="00875515" w:rsidRPr="005205CA" w:rsidRDefault="00875515" w:rsidP="00380E10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41D79" w14:textId="77777777" w:rsidR="00875515" w:rsidRPr="005205CA" w:rsidRDefault="00875515" w:rsidP="00380E10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F</w:t>
            </w:r>
            <w:r w:rsidRPr="005205CA">
              <w:rPr>
                <w:i/>
                <w:iCs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B8446" w14:textId="77777777" w:rsidR="00875515" w:rsidRPr="005205CA" w:rsidRDefault="00875515" w:rsidP="00380E10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p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E38B0" w14:textId="77777777" w:rsidR="00875515" w:rsidRPr="005205CA" w:rsidRDefault="00875515" w:rsidP="00380E10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F</w:t>
            </w:r>
            <w:r w:rsidRPr="005205CA">
              <w:rPr>
                <w:i/>
                <w:iCs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187CF" w14:textId="77777777" w:rsidR="00875515" w:rsidRPr="005205CA" w:rsidRDefault="00875515" w:rsidP="00380E10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p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40229" w14:textId="77777777" w:rsidR="00875515" w:rsidRPr="005205CA" w:rsidRDefault="00875515" w:rsidP="00380E10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R2</w:t>
            </w:r>
          </w:p>
        </w:tc>
      </w:tr>
      <w:tr w:rsidR="00875515" w:rsidRPr="005205CA" w14:paraId="6C7EB6E6" w14:textId="77777777" w:rsidTr="00380E10"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7E185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proofErr w:type="spellStart"/>
            <w:r w:rsidRPr="005205CA">
              <w:rPr>
                <w:sz w:val="20"/>
                <w:szCs w:val="20"/>
                <w:lang w:val="en-GB"/>
              </w:rPr>
              <w:t>HCa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37F16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27.21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(1,86)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F4BAF" w14:textId="77777777" w:rsidR="00875515" w:rsidRPr="005205CA" w:rsidRDefault="0087551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72023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100.70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(2,159)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8B4F6" w14:textId="77777777" w:rsidR="00875515" w:rsidRPr="005205CA" w:rsidRDefault="0087551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2F776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.94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(2,159)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C6F9E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.393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2BCB8" w14:textId="77777777" w:rsidR="00875515" w:rsidRPr="005205CA" w:rsidRDefault="00875515" w:rsidP="00380E1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205CA">
              <w:rPr>
                <w:color w:val="000000"/>
                <w:sz w:val="20"/>
                <w:szCs w:val="20"/>
                <w:shd w:val="clear" w:color="auto" w:fill="FFFFFF"/>
              </w:rPr>
              <w:t>.92</w:t>
            </w:r>
            <w:r w:rsidRPr="005205CA">
              <w:rPr>
                <w:color w:val="000000"/>
                <w:sz w:val="20"/>
                <w:szCs w:val="20"/>
                <w:shd w:val="clear" w:color="auto" w:fill="FFFFFF"/>
                <w:vertAlign w:val="subscript"/>
              </w:rPr>
              <w:t>(1,226)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E9AC9" w14:textId="77777777" w:rsidR="00875515" w:rsidRPr="005205CA" w:rsidRDefault="00875515" w:rsidP="00380E1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205CA">
              <w:rPr>
                <w:color w:val="000000"/>
                <w:sz w:val="20"/>
                <w:szCs w:val="20"/>
                <w:shd w:val="clear" w:color="auto" w:fill="FFFFFF"/>
              </w:rPr>
              <w:t>.339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4F6D9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color w:val="000000"/>
                <w:sz w:val="20"/>
                <w:szCs w:val="20"/>
                <w:shd w:val="clear" w:color="auto" w:fill="FFFFFF"/>
              </w:rPr>
              <w:t>.411</w:t>
            </w:r>
          </w:p>
        </w:tc>
      </w:tr>
      <w:tr w:rsidR="00875515" w:rsidRPr="005205CA" w14:paraId="05179D27" w14:textId="77777777" w:rsidTr="00380E10"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B8E1D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proofErr w:type="spellStart"/>
            <w:r w:rsidRPr="005205CA">
              <w:rPr>
                <w:sz w:val="20"/>
                <w:szCs w:val="20"/>
                <w:lang w:val="en-GB"/>
              </w:rPr>
              <w:t>HCp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7D26B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27.19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(1,87)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00B38" w14:textId="77777777" w:rsidR="00875515" w:rsidRPr="005205CA" w:rsidRDefault="0087551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B2D99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98.18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(2,159)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B120A6" w14:textId="77777777" w:rsidR="00875515" w:rsidRPr="005205CA" w:rsidRDefault="0087551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E4084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1.71(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2,158)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3DFB57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.183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02E52" w14:textId="77777777" w:rsidR="00875515" w:rsidRPr="005205CA" w:rsidRDefault="00875515" w:rsidP="00380E1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205CA">
              <w:rPr>
                <w:color w:val="000000"/>
                <w:sz w:val="20"/>
                <w:szCs w:val="20"/>
                <w:shd w:val="clear" w:color="auto" w:fill="FFFFFF"/>
              </w:rPr>
              <w:t>.97</w:t>
            </w:r>
            <w:r w:rsidRPr="005205CA">
              <w:rPr>
                <w:color w:val="000000"/>
                <w:sz w:val="20"/>
                <w:szCs w:val="20"/>
                <w:shd w:val="clear" w:color="auto" w:fill="FFFFFF"/>
                <w:vertAlign w:val="subscript"/>
              </w:rPr>
              <w:t>(1,240)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DC10D" w14:textId="77777777" w:rsidR="00875515" w:rsidRPr="005205CA" w:rsidRDefault="00875515" w:rsidP="00380E1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205CA">
              <w:rPr>
                <w:color w:val="000000"/>
                <w:sz w:val="20"/>
                <w:szCs w:val="20"/>
                <w:shd w:val="clear" w:color="auto" w:fill="FFFFFF"/>
              </w:rPr>
              <w:t>.324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3F194" w14:textId="77777777" w:rsidR="00875515" w:rsidRPr="005205CA" w:rsidRDefault="00875515" w:rsidP="00380E1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205CA">
              <w:rPr>
                <w:color w:val="000000"/>
                <w:sz w:val="20"/>
                <w:szCs w:val="20"/>
                <w:shd w:val="clear" w:color="auto" w:fill="FFFFFF"/>
              </w:rPr>
              <w:t>.417</w:t>
            </w:r>
          </w:p>
        </w:tc>
      </w:tr>
      <w:tr w:rsidR="00875515" w:rsidRPr="005205CA" w14:paraId="6CE76A34" w14:textId="77777777" w:rsidTr="00380E10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75F4814F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proofErr w:type="spellStart"/>
            <w:r w:rsidRPr="005205CA">
              <w:rPr>
                <w:sz w:val="20"/>
                <w:szCs w:val="20"/>
                <w:lang w:val="en-GB"/>
              </w:rPr>
              <w:t>PHGa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4011B0FB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23.14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(1,87)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1BF5BA3" w14:textId="77777777" w:rsidR="00875515" w:rsidRPr="005205CA" w:rsidRDefault="0087551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252B3683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97.74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(2,159)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05D6FF36" w14:textId="77777777" w:rsidR="00875515" w:rsidRPr="005205CA" w:rsidRDefault="0087551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0966E7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1.62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(2,159)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BD6CCF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.201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59040036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1.05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(1,221)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9890E9B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.307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6A0214DE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.397</w:t>
            </w:r>
          </w:p>
        </w:tc>
      </w:tr>
      <w:tr w:rsidR="00875515" w:rsidRPr="005205CA" w14:paraId="331F8207" w14:textId="77777777" w:rsidTr="00380E10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04E239C4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proofErr w:type="spellStart"/>
            <w:r w:rsidRPr="005205CA">
              <w:rPr>
                <w:sz w:val="20"/>
                <w:szCs w:val="20"/>
                <w:lang w:val="en-GB"/>
              </w:rPr>
              <w:t>PHGp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75CEC4D4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15.70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(1,82)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861F4CD" w14:textId="77777777" w:rsidR="00875515" w:rsidRPr="005205CA" w:rsidRDefault="0087551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00F912A6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94.40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(2,163)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E4D2A4A" w14:textId="77777777" w:rsidR="00875515" w:rsidRPr="005205CA" w:rsidRDefault="0087551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5C5DBC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1.85(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2,155)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F84B61B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.161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514B2E95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.25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(1,240)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C46DEDF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.619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5E0FB8F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.371</w:t>
            </w:r>
          </w:p>
        </w:tc>
      </w:tr>
      <w:tr w:rsidR="00875515" w:rsidRPr="005205CA" w14:paraId="2DF8EC08" w14:textId="77777777" w:rsidTr="00380E10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5ACC21A8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mPFC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6433FF13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8.89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(1,90)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9CD5BF6" w14:textId="77777777" w:rsidR="00875515" w:rsidRPr="005205CA" w:rsidRDefault="0087551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.0044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164DC0F7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72.811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(2,161)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FF079FB" w14:textId="77777777" w:rsidR="00875515" w:rsidRPr="005205CA" w:rsidRDefault="0087551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845925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.935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(2,152)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B5C9470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.395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29B78F24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2.24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(1,221)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1FB14B3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855C87C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.634</w:t>
            </w:r>
          </w:p>
        </w:tc>
      </w:tr>
      <w:tr w:rsidR="00875515" w:rsidRPr="005205CA" w14:paraId="3A28837E" w14:textId="77777777" w:rsidTr="00380E10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4183B51D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vlPFC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74C7FAF0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15.18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(1,90)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6F2CE7C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1BE84A49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71.36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(2,172)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97680D3" w14:textId="77777777" w:rsidR="00875515" w:rsidRPr="005205CA" w:rsidRDefault="0087551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39023C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1.23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(2,165)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0177AA2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.295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0FC87398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.003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(1,242)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1807406C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.955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693F3D88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.591</w:t>
            </w:r>
          </w:p>
        </w:tc>
      </w:tr>
      <w:tr w:rsidR="00875515" w:rsidRPr="005205CA" w14:paraId="3CCCA822" w14:textId="77777777" w:rsidTr="00380E10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3F4940A1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CE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784141BE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9.54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(1,87)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A840D62" w14:textId="77777777" w:rsidR="00875515" w:rsidRPr="005205CA" w:rsidRDefault="0087551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.0038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37025014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59.99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(2,166)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EC6E342" w14:textId="77777777" w:rsidR="00875515" w:rsidRPr="005205CA" w:rsidRDefault="0087551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094C91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1.17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(2,162)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2CB3E9B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.313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4A2D7150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.679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(1,228)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C60DBF6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AE34B4D" w14:textId="77777777" w:rsidR="00875515" w:rsidRPr="005205CA" w:rsidRDefault="00875515" w:rsidP="00380E10">
            <w:pPr>
              <w:rPr>
                <w:sz w:val="20"/>
                <w:szCs w:val="20"/>
                <w:lang w:val="de-DE"/>
              </w:rPr>
            </w:pPr>
            <w:r w:rsidRPr="005205CA">
              <w:rPr>
                <w:sz w:val="20"/>
                <w:szCs w:val="20"/>
                <w:lang w:val="en-GB"/>
              </w:rPr>
              <w:t>.520</w:t>
            </w:r>
          </w:p>
        </w:tc>
      </w:tr>
      <w:tr w:rsidR="00875515" w:rsidRPr="005205CA" w14:paraId="050A18F1" w14:textId="77777777" w:rsidTr="00380E10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125AEE0E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RSC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456B506C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9.27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(1,89)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0F9280F" w14:textId="77777777" w:rsidR="00875515" w:rsidRPr="005205CA" w:rsidRDefault="0087551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.0038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3182A5B6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79.40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(2,162)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C1BFDEC" w14:textId="77777777" w:rsidR="00875515" w:rsidRPr="005205CA" w:rsidRDefault="0087551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E93986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1.86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(2,162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650AE03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.159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603064E2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.101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(1,242)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B9B09FE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.751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5DB3196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.564</w:t>
            </w:r>
          </w:p>
        </w:tc>
      </w:tr>
      <w:tr w:rsidR="00875515" w:rsidRPr="005205CA" w14:paraId="5ADCF5E6" w14:textId="77777777" w:rsidTr="00380E10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6F6B9A08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PC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0E0125DC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11.35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(1,85)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D1633A0" w14:textId="77777777" w:rsidR="00875515" w:rsidRPr="005205CA" w:rsidRDefault="0087551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.0016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37C75EA3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74.33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(2,161)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6866110" w14:textId="77777777" w:rsidR="00875515" w:rsidRPr="005205CA" w:rsidRDefault="0087551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469874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1.57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(1,160)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B53545C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.190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26D82C6F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.008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(1,223)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E2D5E16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.925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D7F61EF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.580</w:t>
            </w:r>
          </w:p>
        </w:tc>
      </w:tr>
      <w:tr w:rsidR="00875515" w:rsidRPr="005205CA" w14:paraId="74C52733" w14:textId="77777777" w:rsidTr="00380E10"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25DDB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LOC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78A94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1.22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(1,100)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C1873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.271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2AE98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64.96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(2,167)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0ED9D" w14:textId="77777777" w:rsidR="00875515" w:rsidRPr="005205CA" w:rsidRDefault="0087551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86532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1.05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(2,162)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EFBBE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.350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C73ED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1.33(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1,220)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82503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.249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0BCBA" w14:textId="77777777" w:rsidR="00875515" w:rsidRPr="005205CA" w:rsidRDefault="0087551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.523</w:t>
            </w:r>
          </w:p>
        </w:tc>
      </w:tr>
    </w:tbl>
    <w:p w14:paraId="4A7DC47D" w14:textId="77777777" w:rsidR="00875515" w:rsidRPr="00F37002" w:rsidRDefault="00875515" w:rsidP="00875515">
      <w:pPr>
        <w:jc w:val="both"/>
        <w:rPr>
          <w:sz w:val="20"/>
          <w:szCs w:val="20"/>
        </w:rPr>
      </w:pPr>
      <w:r w:rsidRPr="00F37002">
        <w:rPr>
          <w:i/>
          <w:iCs/>
          <w:sz w:val="20"/>
          <w:szCs w:val="20"/>
        </w:rPr>
        <w:t>Notes.</w:t>
      </w:r>
      <w:r w:rsidRPr="00F37002">
        <w:rPr>
          <w:sz w:val="20"/>
          <w:szCs w:val="20"/>
        </w:rPr>
        <w:t xml:space="preserve"> Subject was included as a random effect. Group (children, young adults), Delay ( recent, remote (Day 1), remote (Day 14)), and their interaction were included as fixed effect. The following reference levels where used: for Delay, recent; for Group, Children; F – F-value; DF – degrees of freedom; p – p-value; FDR_adj – False Discovery Rate adjusted; R2 – amount of variance explained by the model </w:t>
      </w:r>
      <w:sdt>
        <w:sdtPr>
          <w:rPr>
            <w:color w:val="000000"/>
            <w:sz w:val="20"/>
            <w:szCs w:val="20"/>
            <w:lang w:val="en-GB"/>
          </w:rPr>
          <w:tag w:val="MENDELEY_CITATION_v3_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"/>
          <w:id w:val="1419837910"/>
          <w:placeholder>
            <w:docPart w:val="8E4CE74B97937E4996DAEFEF73FA664B"/>
          </w:placeholder>
        </w:sdtPr>
        <w:sdtContent>
          <w:r w:rsidRPr="00C56626">
            <w:rPr>
              <w:color w:val="000000"/>
              <w:sz w:val="20"/>
              <w:szCs w:val="20"/>
              <w:lang w:val="en-GB"/>
            </w:rPr>
            <w:t>(Stoffel et al., 2021)</w:t>
          </w:r>
        </w:sdtContent>
      </w:sdt>
      <w:r w:rsidRPr="00F37002">
        <w:rPr>
          <w:color w:val="000000"/>
          <w:sz w:val="20"/>
          <w:szCs w:val="20"/>
          <w:lang w:val="en-GB"/>
        </w:rPr>
        <w:t xml:space="preserve">; </w:t>
      </w:r>
      <w:r w:rsidRPr="00F37002">
        <w:rPr>
          <w:sz w:val="20"/>
          <w:szCs w:val="20"/>
          <w:lang w:val="en-GB"/>
        </w:rPr>
        <w:t xml:space="preserve">mPFC – medial prefrontal cortex; vlPFC – ventrolateral prefrontal cortex; </w:t>
      </w:r>
      <w:proofErr w:type="spellStart"/>
      <w:r w:rsidRPr="00F37002">
        <w:rPr>
          <w:sz w:val="20"/>
          <w:szCs w:val="20"/>
          <w:lang w:val="en-GB"/>
        </w:rPr>
        <w:t>HCa</w:t>
      </w:r>
      <w:proofErr w:type="spellEnd"/>
      <w:r w:rsidRPr="00F37002">
        <w:rPr>
          <w:sz w:val="20"/>
          <w:szCs w:val="20"/>
          <w:lang w:val="en-GB"/>
        </w:rPr>
        <w:t xml:space="preserve"> – anterior hippocampus; </w:t>
      </w:r>
      <w:proofErr w:type="spellStart"/>
      <w:r w:rsidRPr="00F37002">
        <w:rPr>
          <w:sz w:val="20"/>
          <w:szCs w:val="20"/>
          <w:lang w:val="en-GB"/>
        </w:rPr>
        <w:t>HCp</w:t>
      </w:r>
      <w:proofErr w:type="spellEnd"/>
      <w:r w:rsidRPr="00F37002">
        <w:rPr>
          <w:sz w:val="20"/>
          <w:szCs w:val="20"/>
          <w:lang w:val="en-GB"/>
        </w:rPr>
        <w:t xml:space="preserve"> – posterior hippocampus; </w:t>
      </w:r>
      <w:proofErr w:type="spellStart"/>
      <w:r w:rsidRPr="00F37002">
        <w:rPr>
          <w:sz w:val="20"/>
          <w:szCs w:val="20"/>
          <w:lang w:val="en-GB"/>
        </w:rPr>
        <w:t>PHGa</w:t>
      </w:r>
      <w:proofErr w:type="spellEnd"/>
      <w:r w:rsidRPr="00F37002">
        <w:rPr>
          <w:sz w:val="20"/>
          <w:szCs w:val="20"/>
          <w:lang w:val="en-GB"/>
        </w:rPr>
        <w:t xml:space="preserve"> – anterior </w:t>
      </w:r>
      <w:proofErr w:type="spellStart"/>
      <w:r w:rsidRPr="00F37002">
        <w:rPr>
          <w:sz w:val="20"/>
          <w:szCs w:val="20"/>
          <w:lang w:val="en-GB"/>
        </w:rPr>
        <w:t>parahippocampal</w:t>
      </w:r>
      <w:proofErr w:type="spellEnd"/>
      <w:r w:rsidRPr="00F37002">
        <w:rPr>
          <w:sz w:val="20"/>
          <w:szCs w:val="20"/>
          <w:lang w:val="en-GB"/>
        </w:rPr>
        <w:t xml:space="preserve"> cortex; </w:t>
      </w:r>
      <w:proofErr w:type="spellStart"/>
      <w:r w:rsidRPr="00F37002">
        <w:rPr>
          <w:sz w:val="20"/>
          <w:szCs w:val="20"/>
          <w:lang w:val="en-GB"/>
        </w:rPr>
        <w:t>PHGp</w:t>
      </w:r>
      <w:proofErr w:type="spellEnd"/>
      <w:r w:rsidRPr="00F37002">
        <w:rPr>
          <w:sz w:val="20"/>
          <w:szCs w:val="20"/>
          <w:lang w:val="en-GB"/>
        </w:rPr>
        <w:t xml:space="preserve"> – posterior </w:t>
      </w:r>
      <w:proofErr w:type="spellStart"/>
      <w:r w:rsidRPr="00F37002">
        <w:rPr>
          <w:sz w:val="20"/>
          <w:szCs w:val="20"/>
          <w:lang w:val="en-GB"/>
        </w:rPr>
        <w:t>parahippocampal</w:t>
      </w:r>
      <w:proofErr w:type="spellEnd"/>
      <w:r w:rsidRPr="00F37002">
        <w:rPr>
          <w:sz w:val="20"/>
          <w:szCs w:val="20"/>
          <w:lang w:val="en-GB"/>
        </w:rPr>
        <w:t xml:space="preserve"> cortex; CE – cerebellum; PC – </w:t>
      </w:r>
      <w:proofErr w:type="spellStart"/>
      <w:r w:rsidRPr="00F37002">
        <w:rPr>
          <w:sz w:val="20"/>
          <w:szCs w:val="20"/>
          <w:lang w:val="en-GB"/>
        </w:rPr>
        <w:t>precuneus</w:t>
      </w:r>
      <w:proofErr w:type="spellEnd"/>
      <w:r w:rsidRPr="00F37002">
        <w:rPr>
          <w:sz w:val="20"/>
          <w:szCs w:val="20"/>
          <w:lang w:val="en-GB"/>
        </w:rPr>
        <w:t xml:space="preserve">; RSC – retrosplenial cortex; LOC – lateral occipital cortex.. </w:t>
      </w:r>
      <w:r w:rsidRPr="00F37002">
        <w:rPr>
          <w:sz w:val="20"/>
          <w:szCs w:val="20"/>
        </w:rPr>
        <w:t>Type III Analysis of Variance Table with Satterthwaite's</w:t>
      </w:r>
      <w:r w:rsidRPr="00F37002">
        <w:rPr>
          <w:sz w:val="20"/>
          <w:szCs w:val="20"/>
          <w:lang w:val="en-GB"/>
        </w:rPr>
        <w:t xml:space="preserve"> </w:t>
      </w:r>
      <w:r w:rsidRPr="00F37002">
        <w:rPr>
          <w:sz w:val="20"/>
          <w:szCs w:val="20"/>
        </w:rPr>
        <w:t>method</w:t>
      </w:r>
      <w:r w:rsidRPr="00F37002">
        <w:rPr>
          <w:sz w:val="20"/>
          <w:szCs w:val="20"/>
          <w:lang w:val="en-GB"/>
        </w:rPr>
        <w:t xml:space="preserve">. </w:t>
      </w:r>
      <w:r w:rsidRPr="00F37002">
        <w:rPr>
          <w:sz w:val="20"/>
          <w:szCs w:val="20"/>
        </w:rPr>
        <w:t>*p &lt; .05; **</w:t>
      </w:r>
      <w:r>
        <w:rPr>
          <w:sz w:val="20"/>
          <w:szCs w:val="20"/>
        </w:rPr>
        <w:t> </w:t>
      </w:r>
      <w:r w:rsidRPr="00F37002">
        <w:rPr>
          <w:sz w:val="20"/>
          <w:szCs w:val="20"/>
        </w:rPr>
        <w:t>&lt;</w:t>
      </w:r>
      <w:r>
        <w:rPr>
          <w:sz w:val="20"/>
          <w:szCs w:val="20"/>
        </w:rPr>
        <w:t> </w:t>
      </w:r>
      <w:r w:rsidRPr="00F37002">
        <w:rPr>
          <w:sz w:val="20"/>
          <w:szCs w:val="20"/>
        </w:rPr>
        <w:t>.01, ***</w:t>
      </w:r>
      <w:r>
        <w:rPr>
          <w:sz w:val="20"/>
          <w:szCs w:val="20"/>
        </w:rPr>
        <w:t> </w:t>
      </w:r>
      <w:r w:rsidRPr="00F37002">
        <w:rPr>
          <w:sz w:val="20"/>
          <w:szCs w:val="20"/>
        </w:rPr>
        <w:t>&lt;</w:t>
      </w:r>
      <w:r>
        <w:rPr>
          <w:sz w:val="20"/>
          <w:szCs w:val="20"/>
        </w:rPr>
        <w:t> </w:t>
      </w:r>
      <w:r w:rsidRPr="00F37002">
        <w:rPr>
          <w:sz w:val="20"/>
          <w:szCs w:val="20"/>
        </w:rPr>
        <w:t>.001 (significant</w:t>
      </w:r>
      <w:r w:rsidRPr="00F37002">
        <w:rPr>
          <w:sz w:val="20"/>
          <w:szCs w:val="20"/>
          <w:lang w:val="en-GB"/>
        </w:rPr>
        <w:t xml:space="preserve"> </w:t>
      </w:r>
      <w:r w:rsidRPr="00F37002">
        <w:rPr>
          <w:sz w:val="20"/>
          <w:szCs w:val="20"/>
        </w:rPr>
        <w:t xml:space="preserve">difference). All main and interactions p-values were FDR-adjusted for multiple comparisons. All main and interactions p-values were FDR-adjusted for multiple comparisons. </w:t>
      </w:r>
    </w:p>
    <w:p w14:paraId="398A642A" w14:textId="77777777" w:rsidR="001209BA" w:rsidRDefault="001209BA"/>
    <w:sectPr w:rsidR="00120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15"/>
    <w:rsid w:val="001209BA"/>
    <w:rsid w:val="00305789"/>
    <w:rsid w:val="005E113E"/>
    <w:rsid w:val="006B36CC"/>
    <w:rsid w:val="006F18BF"/>
    <w:rsid w:val="00875515"/>
    <w:rsid w:val="008D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D92816"/>
  <w15:chartTrackingRefBased/>
  <w15:docId w15:val="{8C370740-2F44-7043-A80A-661E4CF9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51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5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5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5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5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5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5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5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51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51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51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51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515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51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515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51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515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755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551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5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551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7551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5515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875515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55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515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8755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5515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4CE74B97937E4996DAEFEF73FA6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4464-4E58-484A-8179-C93E0C46F06A}"/>
      </w:docPartPr>
      <w:docPartBody>
        <w:p w:rsidR="00000000" w:rsidRDefault="00710A6A" w:rsidP="00710A6A">
          <w:pPr>
            <w:pStyle w:val="8E4CE74B97937E4996DAEFEF73FA664B"/>
          </w:pPr>
          <w:r w:rsidRPr="008666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6A"/>
    <w:rsid w:val="00710A6A"/>
    <w:rsid w:val="008D01CF"/>
    <w:rsid w:val="00C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0A6A"/>
    <w:rPr>
      <w:color w:val="808080"/>
    </w:rPr>
  </w:style>
  <w:style w:type="paragraph" w:customStyle="1" w:styleId="8E4CE74B97937E4996DAEFEF73FA664B">
    <w:name w:val="8E4CE74B97937E4996DAEFEF73FA664B"/>
    <w:rsid w:val="00710A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Schommartz</dc:creator>
  <cp:keywords/>
  <dc:description/>
  <cp:lastModifiedBy>Iryna Schommartz</cp:lastModifiedBy>
  <cp:revision>1</cp:revision>
  <dcterms:created xsi:type="dcterms:W3CDTF">2025-11-19T17:42:00Z</dcterms:created>
  <dcterms:modified xsi:type="dcterms:W3CDTF">2025-11-19T17:44:00Z</dcterms:modified>
</cp:coreProperties>
</file>