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3F4E" w:rsidRPr="00865445" w:rsidRDefault="00663F4E" w:rsidP="00663F4E">
      <w:pPr>
        <w:spacing w:after="160" w:line="259" w:lineRule="auto"/>
      </w:pPr>
      <w:r w:rsidRPr="00865445">
        <w:rPr>
          <w:b/>
        </w:rPr>
        <w:t xml:space="preserve">Supplementary </w:t>
      </w:r>
      <w:r>
        <w:rPr>
          <w:b/>
        </w:rPr>
        <w:t>FILE</w:t>
      </w:r>
      <w:r w:rsidRPr="00865445">
        <w:rPr>
          <w:b/>
        </w:rPr>
        <w:t xml:space="preserve"> 7: Structural Data of this study</w:t>
      </w:r>
    </w:p>
    <w:tbl>
      <w:tblPr>
        <w:tblW w:w="8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96"/>
        <w:gridCol w:w="998"/>
        <w:gridCol w:w="2692"/>
        <w:gridCol w:w="2970"/>
      </w:tblGrid>
      <w:tr w:rsidR="00663F4E" w:rsidRPr="00865445" w:rsidTr="00BF3B61">
        <w:trPr>
          <w:trHeight w:val="390"/>
        </w:trPr>
        <w:tc>
          <w:tcPr>
            <w:tcW w:w="1696" w:type="dxa"/>
            <w:shd w:val="clear" w:color="auto" w:fill="auto"/>
            <w:noWrap/>
            <w:vAlign w:val="bottom"/>
          </w:tcPr>
          <w:p w:rsidR="00663F4E" w:rsidRPr="0045064A" w:rsidRDefault="00663F4E" w:rsidP="00BF3B61">
            <w:pPr>
              <w:rPr>
                <w:rFonts w:eastAsia="Yu Gothic"/>
                <w:b/>
                <w:color w:val="000000"/>
                <w:sz w:val="20"/>
              </w:rPr>
            </w:pPr>
            <w:r w:rsidRPr="0045064A">
              <w:rPr>
                <w:rFonts w:eastAsia="Yu Gothic"/>
                <w:b/>
                <w:color w:val="000000"/>
                <w:sz w:val="20"/>
              </w:rPr>
              <w:t>Protein Name</w:t>
            </w:r>
          </w:p>
        </w:tc>
        <w:tc>
          <w:tcPr>
            <w:tcW w:w="998" w:type="dxa"/>
            <w:shd w:val="clear" w:color="auto" w:fill="auto"/>
            <w:noWrap/>
            <w:vAlign w:val="bottom"/>
          </w:tcPr>
          <w:p w:rsidR="00663F4E" w:rsidRPr="0045064A" w:rsidRDefault="00663F4E" w:rsidP="00BF3B61">
            <w:pPr>
              <w:jc w:val="center"/>
              <w:rPr>
                <w:rFonts w:eastAsia="Yu Gothic"/>
                <w:b/>
                <w:color w:val="000000"/>
                <w:sz w:val="20"/>
              </w:rPr>
            </w:pPr>
            <w:r w:rsidRPr="0045064A">
              <w:rPr>
                <w:rFonts w:eastAsia="Yu Gothic"/>
                <w:b/>
                <w:color w:val="000000"/>
                <w:sz w:val="20"/>
              </w:rPr>
              <w:t>PDB ID</w:t>
            </w:r>
          </w:p>
        </w:tc>
        <w:tc>
          <w:tcPr>
            <w:tcW w:w="2692" w:type="dxa"/>
            <w:shd w:val="clear" w:color="auto" w:fill="auto"/>
            <w:noWrap/>
            <w:vAlign w:val="bottom"/>
          </w:tcPr>
          <w:p w:rsidR="00663F4E" w:rsidRPr="0045064A" w:rsidRDefault="00663F4E" w:rsidP="00BF3B61">
            <w:pPr>
              <w:jc w:val="center"/>
              <w:rPr>
                <w:rFonts w:eastAsia="Yu Gothic"/>
                <w:b/>
                <w:color w:val="000000"/>
                <w:sz w:val="20"/>
              </w:rPr>
            </w:pPr>
            <w:r w:rsidRPr="0045064A">
              <w:rPr>
                <w:rFonts w:eastAsia="Yu Gothic"/>
                <w:b/>
                <w:color w:val="000000"/>
                <w:sz w:val="20"/>
              </w:rPr>
              <w:t>PDB DOI</w:t>
            </w:r>
          </w:p>
        </w:tc>
        <w:tc>
          <w:tcPr>
            <w:tcW w:w="2970" w:type="dxa"/>
            <w:vAlign w:val="bottom"/>
          </w:tcPr>
          <w:p w:rsidR="00663F4E" w:rsidRPr="0045064A" w:rsidRDefault="00663F4E" w:rsidP="00BF3B61">
            <w:pPr>
              <w:jc w:val="center"/>
              <w:rPr>
                <w:rFonts w:eastAsia="Yu Gothic"/>
                <w:b/>
                <w:color w:val="000000"/>
                <w:sz w:val="20"/>
              </w:rPr>
            </w:pPr>
            <w:r w:rsidRPr="0045064A">
              <w:rPr>
                <w:rFonts w:eastAsia="Yu Gothic"/>
                <w:b/>
                <w:color w:val="000000"/>
                <w:sz w:val="20"/>
              </w:rPr>
              <w:t>Citation</w:t>
            </w:r>
          </w:p>
        </w:tc>
      </w:tr>
      <w:tr w:rsidR="00663F4E" w:rsidRPr="00865445" w:rsidTr="00BF3B61">
        <w:trPr>
          <w:trHeight w:val="39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OmpX</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1QJ8</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10.2210/pdb1QJ8/pdb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{"citationID":"VQeKY5CO","properties":{"formattedCitation":"(Vogt and Schulz, 1999)","plainCitation":"(Vogt and Schulz, 1999)","noteIndex":0},"citationItems":[{"id":371,"uris":["http://zotero.org/users/5404087/items/UCXBIXBX"],"uri":["http://zotero.org/users/5404087/items/UCXBIXBX"],"itemData":{"id":371,"type":"article-journal","abstract":"BACKGROUND: The integral outer membrane protein X (OmpX) from Escherichia coli belongs to a family of highly conserved bacterial proteins that promote bacterial adhesion to and entry into mammalian cells. Moreover, these proteins have a role in the resistance against attack by the human complement system. Here we present the first crystal structure of a member of this family.\nRESULTS: The crystal structure of OmpX from E. coli was determined at 1.9 A resolution using multiple isomorphous replacement. OmpX consists of an eight-stranded antiparallel all-next-neighbor beta barrel. The structure shows two girdles of aromatic amino acid residues and a ribbon of nonpolar residues that attach to the membrane interior. The core of the barrel consists of an extended hydrogen-bonding network of highly conserved residues. OmpX thus resembles an inverse micelle. The structure explains the dramatically improved crystal quality of OmpX containing the mutation His100--&gt;Asn, which made the X-ray analysis possible. The coordination spheres of two bound platinum ions are described.\nCONCLUSIONS: The OmpX structure shows that within a family of virulence-related membrane proteins, the membrane-spanning part of the protein is much better conserved than the extracellular loops. Moreover, these loops form a protruding beta sheet, the edge of which presumably binds to external proteins. It is suggested that this type of binding promotes cell adhesion and invasion and helps defend against the complement system. Although OmpX has the same beta-sheet topology as the structurally related outer membrane protein A (OmpA), their barrels differ with respect to the shear numbers and internal hydrogen-bonding networks.","container-title":"Structure (London, England: 1993)","DOI":"10.1016/s0969-2126(00)80063-5","ISSN":"0969-2126","issue":"10","journalAbbreviation":"Structure","language":"eng","note":"PMID: 10545325","page":"1301-1309","source":"PubMed","title":"The structure of the outer membrane protein OmpX from Escherichia coli reveals possible mechanisms of virulence","volume":"7","author":[{"family":"Vogt","given":"J."},{"family":"Schulz","given":"G. E."}],"issued":{"date-parts":[["1999",10]]}}}],"schema":"https://github.com/citation-style-language/schema/raw/master/csl-citation.json"}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(Vogt and Schulz, 1999)</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OmpA</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1BXW</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10.2210/pdb1BXW/pdb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{"citationID":"JQD4hw7i","properties":{"formattedCitation":"(Pautsch and Schulz, 1998)","plainCitation":"(Pautsch and Schulz, 1998)","noteIndex":0},"citationItems":[{"id":373,"uris":["http://zotero.org/users/5404087/items/GCGAIGK9"],"uri":["http://zotero.org/users/5404087/items/GCGAIGK9"],"itemData":{"id":373,"type":"article-journal","abstract":"The outer membrane protein A of Escherichia coli (OmpA) is an intensely studied example in the field of membrane protein folding. We have determined the structure of the OmpA transmembrane domain consisting of residues 1-171, by X-ray diffraction analysis, to a resolution of 2.5 A. It consists of a regular, extended eight-stranded beta-barrel and appears to be constructed like an inverse micelle with large water-filled cavities, but does not form a pore. Surprisingly, the cavities seem to be highly conserved during evolution. The structure corroborates the concept that all outer membrane proteins consist of beta-barrels. The structure constitutes a beta-barrel membrane anchor that appears to be the outer membrane equivalent of the single-chain alpha-helix anchor of the inner membrane.","container-title":"Nature Structural Biology","DOI":"10.1038/2983","ISSN":"1072-8368","issue":"11","journalAbbreviation":"Nat Struct Biol","language":"eng","note":"PMID: 9808047","page":"1013-1017","source":"PubMed","title":"Structure of the outer membrane protein A transmembrane domain","volume":"5","author":[{"family":"Pautsch","given":"A."},{"family":"Schulz","given":"G. E."}],"issued":{"date-parts":[["1998",11]]}}}],"schema":"https://github.com/citation-style-language/schema/raw/master/csl-citation.json"}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(Pautsch and Schulz, 1998)</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OmpW</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2F1T</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10.2210/pdb2F1T/pdb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{"citationID":"5Izqn68z","properties":{"formattedCitation":"(Hong et al., 2006)","plainCitation":"(Hong et al., 2006)","noteIndex":0},"citationItems":[{"id":375,"uris":["http://zotero.org/users/5404087/items/8DXE6MAV"],"uri":["http://zotero.org/users/5404087/items/8DXE6MAV"],"itemData":{"id":375,"type":"article-journal","abstract":"Escherichia coli OmpW belongs to a family of small outer membrane proteins that are widespread in Gram-negative bacteria. Their functions are unknown, but recent data suggest that they may be involved in the protection of bacteria against various forms of environmental stress. To gain insight into the function of these proteins A we have determined the crystal structure of E. coli OmpW to 2.7-A resolution. The structure shows that OmpW forms an 8-stranded beta-barrel with a long and narrow hydrophobic channel that contains a bound n-dodecyl-N,N-dimethylamine-N-oxide detergent molecule. Single channel conductance experiments show that OmpW functions as an ion channel in planar lipid bilayers. The channel activity can be blocked by the addition of n-dodecyl-N,N-dimethylamine-N-oxide. Taken together, the data suggest that members of the OmpW family could be involved in the transport of small hydrophobic molecules across the bacterial outer membrane.","container-title":"The Journal of Biological Chemistry","DOI":"10.1074/jbc.M512365200","ISSN":"0021-9258","issue":"11","journalAbbreviation":"J Biol Chem","language":"eng","note":"PMID: 16414958","page":"7568-7577","source":"PubMed","title":"The outer membrane protein OmpW forms an eight-stranded beta-barrel with a hydrophobic channel","volume":"281","author":[{"family":"Hong","given":"Heedeok"},{"family":"Patel","given":"Dimki R."},{"family":"Tamm","given":"Lukas K."},{"family":"Berg","given":"Bert","non-dropping-particle":"van den"}],"issued":{"date-parts":[["2006",3]]}}}],"schema":"https://github.com/citation-style-language/schema/raw/master/csl-citation.json"}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(Hong et al., 2006)</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PagP</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3GP6</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 xml:space="preserve"> 10.2210/pdb3GP6/pdb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{"citationID":"nv8bOQPx","properties":{"formattedCitation":"(Cuesta-Seijo et al., 2010)","plainCitation":"(Cuesta-Seijo et al., 2010)","noteIndex":0},"citationItems":[{"id":378,"uris":["http://zotero.org/users/5404087/items/ZD2ES4EF"],"uri":["http://zotero.org/users/5404087/items/ZD2ES4EF"],"itemData":{"id":378,"type":"article-journal","abstract":"Enzymatic reactions involving bilayer lipids occur in an environment with strict physical and topological constraints. The integral membrane enzyme PagP transfers a palmitoyl group from a phospholipid to lipid A in order to assist Escherichia coli in evading host immune defenses during infection. PagP measures the palmitoyl group with an internal hydrocarbon ruler that is formed in the interior of the eight-stranded antiparallel β barrel. The access and egress of the palmitoyl group is thought to take a lateral route from the bilayer phase to the barrel interior. Molecular dynamics, mutagenesis, and a 1.4 A crystal structure of PagP in an SDS / 2-methyl-2,4-pentanediol (MPD) cosolvent system reveal that phospholipid access occurs at the crenel present between strands F and G of PagP. In this way, the phospholipid head group can remain exposed to the cell exterior while the lipid acyl chain remains in a predominantly hydrophobic environment as it translocates to the protein interior.","container-title":"Structure (London, England: 1993)","DOI":"10.1016/j.str.2010.06.014","ISSN":"1878-4186","issue":"9","journalAbbreviation":"Structure","language":"eng","note":"PMID: 20826347\nPMCID: PMC5007126","page":"1210-1219","source":"PubMed","title":"PagP crystallized from SDS/cosolvent reveals the route for phospholipid access to the hydrocarbon ruler","volume":"18","author":[{"family":"Cuesta-Seijo","given":"Jose Antonio"},{"family":"Neale","given":"Chris"},{"family":"Khan","given":"M. Adil"},{"family":"Moktar","given":"Joel"},{"family":"Tran","given":"Christopher D."},{"family":"Bishop","given":"Russell E."},{"family":"Pomès","given":"Régis"},{"family":"Privé","given":"Gilbert G."}],"issued":{"date-parts":[["2010",9]]}}}],"schema":"https://github.com/citation-style-language/schema/raw/master/csl-citation.json"}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(Cuesta-Seijo et al., 2010)</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OmpT</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1I78</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10.2210/pdb1I78/pdb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{"citationID":"hLDJL3tH","properties":{"formattedCitation":"(Vandeputte-Rutten et al., 2001)","plainCitation":"(Vandeputte-Rutten et al., 2001)","noteIndex":0},"citationItems":[{"id":381,"uris":["http://zotero.org/users/5404087/items/2H7N44RV"],"uri":["http://zotero.org/users/5404087/items/2H7N44RV"],"itemData":{"id":381,"type":"article-journal","abstract":"OmpT from Escherichia coli belongs to a family of highly homologous outer membrane proteases, known as omptins, which are implicated in the virulence of several pathogenic Gram-negative bacteria. Here we present the crystal structure of OmpT, which shows a 10-stranded antiparallel beta-barrel that protrudes far from the lipid bilayer into the extracellular space. We identified a putative binding site for lipopolysaccharide, a molecule that is essential for OmpT activity. The proteolytic site is located in a groove at the extracellular top of the vase-shaped beta-barrel. Based on the constellation of active site residues, we propose a novel proteolytic mechanism, involving a His-Asp dyad and an Asp-Asp couple that activate a putative nucleophilic water molecule. The active site is fully conserved within the omptin family. Therefore, the structure described here provides a sound basis for the design of drugs against omptin-mediated bacterial pathogenesis. Coordinates are in the Protein Data Bank (accession No. 1I78)","container-title":"The EMBO journal","DOI":"10.1093/emboj/20.18.5033","ISSN":"0261-4189","issue":"18","journalAbbreviation":"EMBO J","language":"eng","note":"PMID: 11566868\nPMCID: PMC125623","page":"5033-5039","source":"PubMed","title":"Crystal structure of the outer membrane protease OmpT from Escherichia coli suggests a novel catalytic site","volume":"20","author":[{"family":"Vandeputte-Rutten","given":"L."},{"family":"Kramer","given":"R. A."},{"family":"Kroon","given":"J."},{"family":"Dekker","given":"N."},{"family":"Egmond","given":"M. R."},{"family":"Gros","given":"P."}],"issued":{"date-parts":[["2001",9]]}}}],"schema":"https://github.com/citation-style-language/schema/raw/master/csl-citation.json"}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(Vandeputte-Rutten et al., 2001)</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EspP</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2QOM</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10.2210/pdb2QOM/pdb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{"citationID":"RN0O1gw5","properties":{"formattedCitation":"(Barnard et al., 2007)","plainCitation":"(Barnard et al., 2007)","noteIndex":0},"citationItems":[{"id":384,"uris":["http://zotero.org/users/5404087/items/8LXGTCV6"],"uri":["http://zotero.org/users/5404087/items/8LXGTCV6"],"itemData":{"id":384,"type":"article-journal","abstract":"Autotransporters are virulence factors produced by Gram-negative bacteria. They consist of two domains, an N-terminal 'passenger' domain and a C-terminal beta-domain. beta-domains form beta-barrel structures in the outer membrane while passenger domains are translocated into the extracellular space. In some autotransporters, the two domains are separated by proteolytic cleavage. Using X-ray crystallography, we solved the 2.7-A structure of the post-cleavage state of the beta-domain of EspP, an autotransporter produced by Escherichia coli strain O157:H7. The structure consists of a 12-stranded beta-barrel with the passenger domain-beta-domain cleavage junction located inside the barrel pore, approximately midway between the extracellular and periplasmic surfaces of the outer membrane. The structure reveals an unprecedented intra-barrel cleavage mechanism and suggests that two conformational changes occur in the beta-domain after cleavage, one conferring increased stability on the beta-domain and another restricting access to the barrel pore.","container-title":"Nature Structural &amp; Molecular Biology","DOI":"10.1038/nsmb1322","ISSN":"1545-9985","issue":"12","journalAbbreviation":"Nat Struct Mol Biol","language":"eng","note":"PMID: 17994105\nPMCID: PMC2551741","page":"1214-1220","source":"PubMed","title":"Autotransporter structure reveals intra-barrel cleavage followed by conformational changes","volume":"14","author":[{"family":"Barnard","given":"Travis J."},{"family":"Dautin","given":"Nathalie"},{"family":"Lukacik","given":"Petra"},{"family":"Bernstein","given":"Harris D."},{"family":"Buchanan","given":"Susan K."}],"issued":{"date-parts":[["2007",12]]}}}],"schema":"https://github.com/citation-style-language/schema/raw/master/csl-citation.json"}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(Barnard et al., 2007)</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HBP</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3AEH</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10.2210/pdb3AEH/pdb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{"citationID":"diVzBqhJ","properties":{"formattedCitation":"(Tajima et al., 2010)","plainCitation":"(Tajima et al., 2010)","noteIndex":0},"citationItems":[{"id":387,"uris":["http://zotero.org/users/5404087/items/IE47AB5A"],"uri":["http://zotero.org/users/5404087/items/IE47AB5A"],"itemData":{"id":387,"type":"article-journal","abstract":"Many virulence factors secreted by pathogenic Gram-negative bacteria are found to be members of the autotransporter protein family. These proteins share a common mechanism by which they exit the periplasm, involving the formation of a 12-stranded β-barrel domain in the outer membrane. The role of this barrel in the secretion of the N-terminal passenger domain is controversial, and no model currently explains satisfactorily the entire body of experimental data. After secretion, some autotransporter barrels autoproteolytically cleave away the passenger, and one crystal structure is known for a barrel of this type in the postcleavage state. Hbp is an autotransporter of the self-cleaving type, which cuts the polypeptide between two absolutely conserved asparagine residues buried within the barrel lumen. Mutation of the first asparagine residue to isosteric aspartic acid prevents proteolysis. Here we present the crystal structure of a truncated Hbp mutant carrying the C-terminal residues of the passenger domain attached to the barrel. This model mimics the state of the protein immediately prior to separation of the passenger and barrel domains, and shows the role of residues in the so-called \"linker\" between the passenger and β domains. This high-resolution membrane protein crystal structure also reveals the sites of many water molecules within the barrel. The cleavage mechanism shows similarities to those of inteins and some viral proteins, but with a novel means of promoting nucleophilic attack.","container-title":"Journal of Molecular Biology","DOI":"10.1016/j.jmb.2010.06.068","ISSN":"1089-8638","issue":"4","journalAbbreviation":"J Mol Biol","language":"eng","note":"PMID: 20615416","page":"645-656","source":"PubMed","title":"A novel intein-like autoproteolytic mechanism in autotransporter proteins","volume":"402","author":[{"family":"Tajima","given":"Nami"},{"family":"Kawai","given":"Fumihiro"},{"family":"Park","given":"Sam-Yong"},{"family":"Tame","given":"Jeremy R. H."}],"issued":{"date-parts":[["2010",10]]}}}],"schema":"https://github.com/citation-style-language/schema/raw/master/csl-citation.json"}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(Tajima et al., 2010)</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NanC</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2WJQ</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10.2210/pdb2WJQ/pdb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{"citationID":"CUEgPQNt","properties":{"formattedCitation":"(Wirth et al., 2009)","plainCitation":"(Wirth et al., 2009)","noteIndex":0},"citationItems":[{"id":389,"uris":["http://zotero.org/users/5404087/items/9K8VDQ56"],"uri":["http://zotero.org/users/5404087/items/9K8VDQ56"],"itemData":{"id":389,"type":"article-journal","abstract":"Sialic acids are acidic sugars present mostly on vertebrate cell surfaces, which can be metabolized by bacteria and act as an inflammation signal. N-Acetylneuraminic acid, the most abundant sialic acid, can enter into Escherichia coli K12 through NanC, an N-acetylneuraminic acid-inducible outer-membrane channel. With its 215 residues, NanC belongs to the family of small monomeric KdgM-related porins. KdgM homologues are found in gammaproteobacteria, including major plant and human pathogens, and together they define a large family of putative acidic sugar/oligosaccharide transporters, which are as yet poorly characterized. Here, we present the first high-resolution structure of a KdgM family member. NanC folds into a 28-A-high, 12-stranded beta-barrel, resembling the beta-domain of autotransporter NalP and defining an open pore with an average radius of 3.3 A. The channel is lined by two strings of basic residues facing each other across the pore, a feature that appears largely conserved within the KdgM family and is likely to facilitate the diffusion of acidic oligosaccharides.","container-title":"Journal of Molecular Biology","DOI":"10.1016/j.jmb.2009.09.054","ISSN":"1089-8638","issue":"4","journalAbbreviation":"J Mol Biol","language":"eng","note":"PMID: 19796645","page":"718-731","source":"PubMed","title":"NanC crystal structure, a model for outer-membrane channels of the acidic sugar-specific KdgM porin family","volume":"394","author":[{"family":"Wirth","given":"Christophe"},{"family":"Condemine","given":"Guy"},{"family":"Boiteux","given":"Céline"},{"family":"Bernèche","given":"Simon"},{"family":"Schirmer","given":"Tilman"},{"family":"Peneff","given":"Caroline M."}],"issued":{"date-parts":[["2009",12]]}}}],"schema":"https://github.com/citation-style-language/schema/raw/master/csl-citation.json"}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(Wirth et al., 2009)</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PldA/OmpLA</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1QD5</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10.2210/pdb1QD5/pdb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{"citationID":"Sc9h9YpK","properties":{"formattedCitation":"(Snijder et al., 1999)","plainCitation":"(Snijder et al., 1999)","noteIndex":0},"citationItems":[{"id":391,"uris":["http://zotero.org/users/5404087/items/V6DN3H5U"],"uri":["http://zotero.org/users/5404087/items/V6DN3H5U"],"itemData":{"id":391,"type":"article-journal","abstract":"Dimerization is a biological regulatory mechanism employed by both soluble and membrane proteins. However, there are few structural data on the factors that govern dimerization of membrane proteins. Outer membrane phospholipase A (OMPLA) is an integral membrane enzyme which participates in secretion of colicins in Escherichia coli. In Campilobacter and Helicobacter pylori strains, OMPLA is implied in virulence. Its activity is regulated by reversible dimerization. Here we report X-ray structures of monomeric and dimeric OMPLA from E. coli. Dimer interactions occur almost exclusively in the apolar membrane-embedded parts, with two hydrogen bonds within the hydrophobic membrane area being key interactions. Dimerization results in functional oxyanion holes and substrate-binding pockets, which are absent in monomeric OMPLA. These results provide a detailed view of activation by dimerization of a membrane protein.","container-title":"Nature","DOI":"10.1038/44890","ISSN":"0028-0836","issue":"6754","journalAbbreviation":"Nature","language":"eng","note":"PMID: 10537112","page":"717-721","source":"PubMed","title":"Structural evidence for dimerization-regulated activation of an integral membrane phospholipase","volume":"401","author":[{"family":"Snijder","given":"H. J."},{"family":"Ubarretxena-Belandia","given":"I."},{"family":"Blaauw","given":"M."},{"family":"Kalk","given":"K. H."},{"family":"Verheij","given":"H. M."},{"family":"Egmond","given":"M. R."},{"family":"Dekker","given":"N."},{"family":"Dijkstra","given":"B. W."}],"issued":{"date-parts":[["1999",10]]}}}],"schema":"https://github.com/citation-style-language/schema/raw/master/csl-citation.json"}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(Snijder et al., 1999)</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Tsx</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1TLW</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 10.2210/pdb1TLW/pdb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{"citationID":"E304fq7b","properties":{"formattedCitation":"(Ye and van den Berg, 2004)","plainCitation":"(Ye and van den Berg, 2004)","noteIndex":0},"citationItems":[{"id":394,"uris":["http://zotero.org/users/5404087/items/A6ABMT3J"],"uri":["http://zotero.org/users/5404087/items/A6ABMT3J"],"itemData":{"id":394,"type":"article-journal","abstract":"Tsx is a nucleoside-specific outer membrane (OM) transporter of Gram-negative bacteria. We present crystal structures of Escherichia coli Tsx in the absence and presence of nucleosides. These structures provide a mechanism for nucleoside transport across the bacterial OM. Tsx forms a monomeric, 12-stranded beta-barrel with a long and narrow channel spanning the outer membrane. The channel, which is shaped like a keyhole, contains several distinct nucleoside-binding sites, two of which are well defined. The base moiety of the nucleoside is located in the narrow part of the keyhole, while the sugar occupies the wider opening. Pairs of aromatic residues and flanking ionizable residues are involved in nucleoside binding. Nucleoside transport presumably occurs by diffusion from one binding site to the next.","container-title":"The EMBO journal","DOI":"10.1038/sj.emboj.7600330","ISSN":"0261-4189","issue":"16","journalAbbreviation":"EMBO J","language":"eng","note":"PMID: 15272310\nPMCID: PMC514505","page":"3187-3195","source":"PubMed","title":"Crystal structure of the bacterial nucleoside transporter Tsx","volume":"23","author":[{"family":"Ye","given":"Jiqing"},{"family":"Berg","given":"Bert","non-dropping-particle":"van den"}],"issued":{"date-parts":[["2004",8]]}}}],"schema":"https://github.com/citation-style-language/schema/raw/master/csl-citation.json"}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(Ye and van den Berg, 2004)</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FadL</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1T16</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10.2210/pdb1T16/pdb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{"citationID":"GBoA88Ug","properties":{"formattedCitation":"(van den Berg et al., 2004)","plainCitation":"(van den Berg et al., 2004)","noteIndex":0},"citationItems":[{"id":397,"uris":["http://zotero.org/users/5404087/items/AL8H6NKI"],"uri":["http://zotero.org/users/5404087/items/AL8H6NKI"],"itemData":{"id":397,"type":"article-journal","abstract":"The mechanisms by which hydrophobic molecules, such as long-chain fatty acids, enter cells are poorly understood. In Gram-negative bacteria, the lipopolysaccharide layer in the outer membrane is an efficient barrier for fatty acids and aromatic hydrocarbons destined for biodegradation. We report crystal structures of the long-chain fatty acid transporter FadL from Escherichia coli at 2.6 and 2.8 angstrom resolution. FadL forms a 14-stranded beta barrel that is occluded by a central hatch domain. The structures suggest that hydrophobic compounds bind to multiple sites in FadL and use a transport mechanism that involves spontaneous conformational changes in the hatch.","container-title":"Science (New York, N.Y.)","DOI":"10.1126/science.1097524","ISSN":"1095-9203","issue":"5676","journalAbbreviation":"Science","language":"eng","note":"PMID: 15178802","page":"1506-1509","source":"PubMed","title":"Crystal structure of the long-chain fatty acid transporter FadL","volume":"304","author":[{"family":"Berg","given":"Bert","non-dropping-particle":"van den"},{"family":"Black","given":"Paul N."},{"family":"Clemons","given":"William M."},{"family":"Rapoport","given":"Tom A."}],"issued":{"date-parts":[["2004",6]]}}}],"schema":"https://github.com/citation-style-language/schema/raw/master/csl-citation.json"}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(van den Berg et al., 2004)</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OmpC</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2J1N</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10.2210/pdb2J1N/pdb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{"citationID":"R9bnucnS","properties":{"formattedCitation":"(Basl\\uc0\\u233{} et al., 2006)","plainCitation":"(Baslé et al., 2006)","noteIndex":0},"citationItems":[{"id":399,"uris":["http://zotero.org/users/5404087/items/LFASYFUI"],"uri":["http://zotero.org/users/5404087/items/LFASYFUI"],"itemData":{"id":399,"type":"article-journal","abstract":"Porins form transmembrane pores in the outer membrane of Gram-negative bacteria with matrix porin OmpF and osmoporin OmpC from Escherichia coli being differentially expressed depending on environmental conditions. The three-dimensional structure of OmpC has been determined to 2.0 A resolution by X-ray crystallography. As expected from the high sequence similarity, OmpC adopts the OmpF-like 16-stranded hollow beta-barrel fold with three beta-barrels associated to form a tight trimer. Unlike in OmpF, the extracellular loops form a continuous wall at the perimeter of the vestibule common to the three pores, due to a 14-residues insertion in loop L4. The pore constriction and the periplasmic outlet are very similar to OmpF with 74% of the pore lining residues being conserved. Overall, only few ionizable residues are exchanged at the pore lining. The OmpC structure suggests that not pore size, but electrostatic pore potential and particular atomic details of the pore linings are the critical parameters that physiologically distinguish OmpC from OmpF.","container-title":"Journal of Molecular Biology","DOI":"10.1016/j.jmb.2006.08.002","ISSN":"0022-2836","issue":"5","journalAbbreviation":"J Mol Biol","language":"eng","note":"PMID: 16949612","page":"933-942","source":"PubMed","title":"Crystal structure of osmoporin OmpC from E. coli at 2.0 A","volume":"362","author":[{"family":"Baslé","given":"Arnaud"},{"family":"Rummel","given":"Gabriele"},{"family":"Storici","given":"Paola"},{"family":"Rosenbusch","given":"Juerg P."},{"family":"Schirmer","given":"Tilman"}],"issued":{"date-parts":[["2006",10]]}}}],"schema":"https://github.com/citation-style-language/schema/raw/master/csl-citation.json"} </w:instrText>
            </w:r>
            <w:r w:rsidRPr="0045064A">
              <w:rPr>
                <w:rFonts w:eastAsia="Yu Gothic"/>
                <w:color w:val="000000"/>
                <w:sz w:val="20"/>
              </w:rPr>
              <w:fldChar w:fldCharType="separate"/>
            </w:r>
            <w:r w:rsidRPr="0045064A">
              <w:rPr>
                <w:rFonts w:eastAsia="Yu Gothic"/>
                <w:color w:val="000000"/>
                <w:sz w:val="20"/>
              </w:rPr>
              <w:t>(Baslé et al., 2006)</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PhoE</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1PHO</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 xml:space="preserve"> 10.2210/pdb1PHO/pdb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{"citationID":"zcIVjHF6","properties":{"formattedCitation":"(Cowan et al., 1992)","plainCitation":"(Cowan et al., 1992)","noteIndex":0},"citationItems":[{"id":401,"uris":["http://zotero.org/users/5404087/items/PD9B8S6G"],"uri":["http://zotero.org/users/5404087/items/PD9B8S6G"],"itemData":{"id":401,"type":"article-journal","abstract":"Porins form aqueous channels that aid the diffusion of small hydrophilic molecules across the outer membrane of Gram-negative bacteria. The crystal structures of matrix porin and phosphoporin both reveal trimers of identical subunits, each subunit consisting of a 16-stranded anti-parallel beta-barrel containing a pore. A long loop inside the barrel contributes to a constriction of the channel where the charge distribution affects ion selectivity. The structures explain at the molecular level functional characteristics and their alterations by known mutations.","container-title":"Nature","DOI":"10.1038/358727a0","ISSN":"0028-0836","issue":"6389","journalAbbreviation":"Nature","language":"eng","note":"PMID: 1380671","page":"727-733","source":"PubMed","title":"Crystal structures explain functional properties of two E. coli porins","volume":"358","author":[{"family":"Cowan","given":"S. W."},{"family":"Schirmer","given":"T."},{"family":"Rummel","given":"G."},{"family":"Steiert","given":"M."},{"family":"Ghosh","given":"R."},{"family":"Pauptit","given":"R. A."},{"family":"Jansonius","given":"J. N."},{"family":"Rosenbusch","given":"J. P."}],"issued":{"date-parts":[["1992",8]]}}}],"schema":"https://github.com/citation-style-language/schema/raw/master/csl-citation.json"}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(Cowan et al., 1992)</w:t>
            </w:r>
            <w:r w:rsidRPr="0045064A">
              <w:rPr>
                <w:rFonts w:eastAsia="Yu Gothic"/>
                <w:color w:val="000000"/>
                <w:sz w:val="20"/>
              </w:rPr>
              <w:fldChar w:fldCharType="end"/>
            </w:r>
          </w:p>
        </w:tc>
      </w:tr>
      <w:tr w:rsidR="00663F4E" w:rsidRPr="00865445" w:rsidTr="00BF3B61">
        <w:trPr>
          <w:trHeight w:val="38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OmpF</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1BT9</w:t>
            </w:r>
          </w:p>
        </w:tc>
        <w:tc>
          <w:tcPr>
            <w:tcW w:w="2692" w:type="dxa"/>
            <w:shd w:val="clear" w:color="auto" w:fill="auto"/>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10.2210/pdb1BT9/pdb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{"citationID":"4cSQ2fI6","properties":{"formattedCitation":"(Phale et al., 1998)","plainCitation":"(Phale et al., 1998)","noteIndex":0},"citationItems":[{"id":403,"uris":["http://zotero.org/users/5404087/items/3ZF54IST"],"uri":["http://zotero.org/users/5404087/items/3ZF54IST"],"itemData":{"id":403,"type":"article-journal","abstract":"The channel-forming protein OmpF porin from Escherichia coli spans the bacterial outer membrane. Each of the three monomers comprises a hollow, 16-stranded beta-barrel. These are associated to homotrimers which are unusually stable, due mostly to hydrophobic interactions between the beta-barrels. In addition, a loop, L2 connects one subunit to its neighbor by latching into its channel. Residue E71 on loop 2 is integrated into an ionic network and forms salt bridges and hydrogen bonds with R100 and R132 on the channel wall in the adjacent subunit. To examine these contributions quantitatively, six single-site, two double, and one deletion mutant were constructed on the basis of the atomic coordinates of the protein. Differential scanning calorimetric analysis showed that the salt-bridge, E71-R100, contributes significantly to trimer stability: the substitution E71Q causes a decrease of the transition temperature from 72 to 48 degreesC, with DeltaHcal diminishing from 430 to 201 kcal mol-1. A nearby substitution in the loop, D74N, has lesser effects on thermal stability, while the deletion in L2 (Delta69-77) has an effect comparable to that of E71Q. X-ray structure analysis to 3.0 A resolution revealed only local structural differences in the mutants except for the substitution R100A, where another residue, R132, is found to fill the gap left by the truncated side chain of A100. Functional assays in planar lipid bilayers show significantly increased cation selectivities if the charge distribution was affected.","container-title":"Biochemistry","DOI":"10.1021/bi981215c","ISSN":"0006-2960","issue":"45","journalAbbreviation":"Biochemistry","language":"eng","note":"PMID: 9843370","page":"15663-15670","source":"PubMed","title":"Stability of trimeric OmpF porin: the contributions of the latching loop L2","title-short":"Stability of trimeric OmpF porin","volume":"37","author":[{"family":"Phale","given":"P. S."},{"family":"Philippsen","given":"A."},{"family":"Kiefhaber","given":"T."},{"family":"Koebnik","given":"R."},{"family":"Phale","given":"V. P."},{"family":"Schirmer","given":"T."},{"family":"Rosenbusch","given":"J. P."}],"issued":{"date-parts":[["1998",11]]}}}],"schema":"https://github.com/citation-style-language/schema/raw/master/csl-citation.json"}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(Phale et al., 1998)</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LamB</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1MPM</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 xml:space="preserve"> 10.2210/pdb1MPM/pdb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{"citationID":"DaKInSwL","properties":{"formattedCitation":"(Dutzler et al., 1996)","plainCitation":"(Dutzler et al., 1996)","noteIndex":0},"citationItems":[{"id":405,"uris":["http://zotero.org/users/5404087/items/CYE6J8BX"],"uri":["http://zotero.org/users/5404087/items/CYE6J8BX"],"itemData":{"id":405,"type":"article-journal","abstract":"BACKGROUND: Maltoporin (which is encoded by the lamB gene) facilitates the translocation of maltodextrins across the outer membrane of E. coli. In particular, it is indispensable for the transport of long maltooligosaccharides, as these do not pass through non-specific porins. An understanding of this intriguing capability requires elucidation of the structural basis.\nRESULTS: The crystal structures of maltoporin in complex with maltose, maltotriose and maltohexaose reveal an extended binding site within the maltoporin channel. The maltooligosaccharides are in apolar van der Waals contact with the 'greasy slide', a hydrophobic path that is composed of aromatic residues and located at the channel lining. At the constriction of the channel the sugars are tightly surrounded by protein side chains and form an extensive hydrogen-bonding network with ionizable amino-acid residues.\nCONCLUSION: Hydrophobic interactions with the greasy slide guide the sugar into and through the channel constriction. The glucosyl-binding subsites at the channel constriction confer stereospecificity to the channel along with the ability to scavenge substrate at low concentrations.","container-title":"Structure (London, England: 1993)","DOI":"10.1016/s0969-2126(96)00016-0","ISSN":"0969-2126","issue":"2","journalAbbreviation":"Structure","language":"eng","note":"PMID: 8805519","page":"127-134","source":"PubMed","title":"Crystal structures of various maltooligosaccharides bound to maltoporin reveal a specific sugar translocation pathway","volume":"4","author":[{"family":"Dutzler","given":"R."},{"family":"Wang","given":"Y. F."},{"family":"Rizkallah","given":"P."},{"family":"Rosenbusch","given":"J. P."},{"family":"Schirmer","given":"T."}],"issued":{"date-parts":[["1996",2]]}}}],"schema":"https://github.com/citation-style-language/schema/raw/master/csl-citation.json"}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(Dutzler et al., 1996)</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BtuB</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1NQE</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 xml:space="preserve"> 10.2210/pdb1NQE/pdb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{"citationID":"HqQytRoW","properties":{"formattedCitation":"(Chimento et al., 2003)","plainCitation":"(Chimento et al., 2003)","noteIndex":0},"citationItems":[{"id":407,"uris":["http://zotero.org/users/5404087/items/SCGSEKDH"],"uri":["http://zotero.org/users/5404087/items/SCGSEKDH"],"itemData":{"id":407,"type":"article-journal","abstract":"The outer membranes of Gram-negative bacteria possess transport proteins essential for uptake of scarce nutrients. In TonB-dependent transporters, a conserved sequence of seven residues, the Ton box, faces the periplasm and interacts with the inner membrane TonB protein to energize an active transport cycle. A critical mechanistic step is the structural change in the Ton box of the transporter upon substrate binding; this essential transmembrane signaling event increases the affinity of the transporter for TonB and enables active transport to proceed. We have solved crystal structures of BtuB, the outer membrane cobalamin transporter from Escherichia coli, in the absence and presence of cyanocobalamin (vitamin B(12)). In these structures, the Ton box is ordered and undergoes a conformational change in the presence of bound substrate. Calcium has been implicated as a necessary factor for the high-affinity binding (K(d) approximately 0.3 nM) of cyanocobalamin to BtuB. We observe two bound calcium ions that order three extracellular loops of BtuB, thus providing a direct (and unusual) structural role for calcium.","container-title":"Nature Structural Biology","DOI":"10.1038/nsb914","ISSN":"1072-8368","issue":"5","journalAbbreviation":"Nat Struct Biol","language":"eng","note":"PMID: 12652322","page":"394-401","source":"PubMed","title":"Substrate-induced transmembrane signaling in the cobalamin transporter BtuB","volume":"10","author":[{"family":"Chimento","given":"David P."},{"family":"Mohanty","given":"Arun K."},{"family":"Kadner","given":"Robert J."},{"family":"Wiener","given":"Michael C."}],"issued":{"date-parts":[["2003",5]]}}}],"schema":"https://github.com/citation-style-language/schema/raw/master/csl-citation.json"}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(Chimento et al., 2003)</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CirA</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2HDI</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10.2210/pdb2HDI/pdb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{"citationID":"T75adBcX","properties":{"formattedCitation":"(Buchanan et al., 2007)","plainCitation":"(Buchanan et al., 2007)","noteIndex":0},"citationItems":[{"id":409,"uris":["http://zotero.org/users/5404087/items/FAZ79NCQ"],"uri":["http://zotero.org/users/5404087/items/FAZ79NCQ"],"itemData":{"id":409,"type":"article-journal","abstract":"Colicin Ia is a 69 kDa protein that kills susceptible Escherichia coli cells by binding to a specific receptor in the outer membrane, colicin I receptor (70 kDa), and subsequently translocating its channel forming domain across the periplasmic space, where it inserts into the inner membrane and forms a voltage-dependent ion channel. We determined crystal structures of colicin I receptor alone and in complex with the receptor binding domain of colicin Ia. The receptor undergoes large and unusual conformational changes upon colicin binding, opening at the cell surface and positioning the receptor binding domain of colicin Ia directly above it. We modelled the interaction with full-length colicin Ia to show that the channel forming domain is initially positioned 150 A above the cell surface. Functional data using full-length colicin Ia show that colicin I receptor is necessary for cell surface binding, and suggest that the receptor participates in translocation of colicin Ia across the outer membrane.","container-title":"The EMBO journal","DOI":"10.1038/sj.emboj.7601693","ISSN":"0261-4189","issue":"10","journalAbbreviation":"EMBO J","language":"eng","note":"PMID: 17464289\nPMCID: PMC1868905","page":"2594-2604","source":"PubMed","title":"Structure of colicin I receptor bound to the R-domain of colicin Ia: implications for protein import","title-short":"Structure of colicin I receptor bound to the R-domain of colicin Ia","volume":"26","author":[{"family":"Buchanan","given":"Susan K."},{"family":"Lukacik","given":"Petra"},{"family":"Grizot","given":"Sylvestre"},{"family":"Ghirlando","given":"Rodolfo"},{"family":"Ali","given":"Maruf M. U."},{"family":"Barnard","given":"Travis J."},{"family":"Jakes","given":"Karen S."},{"family":"Kienker","given":"Paul K."},{"family":"Esser","given":"Lothar"}],"issued":{"date-parts":[["2007",5]]}}}],"schema":"https://github.com/citation-style-language/schema/raw/master/csl-citation.json"}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(Buchanan et al., 2007)</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FhuA</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1BY3</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10.2210/pdb1BY3/pdb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{"citationID":"IMVqiwxo","properties":{"formattedCitation":"(Locher et al., 1998)","plainCitation":"(Locher et al., 1998)","noteIndex":0},"citationItems":[{"id":412,"uris":["http://zotero.org/users/5404087/items/JTMTH7BE"],"uri":["http://zotero.org/users/5404087/items/JTMTH7BE"],"itemData":{"id":412,"type":"article-journal","abstract":"FhuA protein facilitates ligand-gated transport of ferrichrome-bound iron across Escherichia coli outer membranes. X-ray analysis at 2.7 A resolution reveals two distinct conformations in the presence and absence of ferrichrome. The monomeric protein consists of a hollow, 22-stranded, antiparallel beta barrel (residues 160-714), which is obstructed by a plug (residues 19-159). The binding site of ferrichrome, an aromatic pocket near the cell surface, undergoes minor changes upon association with the ligand. These are propagated and amplified across the plug, eventually resulting in substantially different protein conformations at the periplasmic face. Our findings reveal the mechanism of signal transmission and suggest how the energy-transducing TonB complex senses ligand binding.","container-title":"Cell","DOI":"10.1016/s0092-8674(00)81700-6","ISSN":"0092-8674","issue":"6","journalAbbreviation":"Cell","language":"eng","note":"PMID: 9865695","page":"771-778","source":"PubMed","title":"Transmembrane signaling across the ligand-gated FhuA receptor: crystal structures of free and ferrichrome-bound states reveal allosteric changes","title-short":"Transmembrane signaling across the ligand-gated FhuA receptor","volume":"95","author":[{"family":"Locher","given":"K. P."},{"family":"Rees","given":"B."},{"family":"Koebnik","given":"R."},{"family":"Mitschler","given":"A."},{"family":"Moulinier","given":"L."},{"family":"Rosenbusch","given":"J. P."},{"family":"Moras","given":"D."}],"issued":{"date-parts":[["1998",12]]}}}],"schema":"https://github.com/citation-style-language/schema/raw/master/csl-citation.json"}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(Locher et al., 1998)</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FepA</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1FEP</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10.2210/pdb1FEP/pdb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{"citationID":"qN2JLOMU","properties":{"formattedCitation":"(Buchanan et al., 1999)","plainCitation":"(Buchanan et al., 1999)","noteIndex":0},"citationItems":[{"id":414,"uris":["http://zotero.org/users/5404087/items/KIJ2VVB3"],"uri":["http://zotero.org/users/5404087/items/KIJ2VVB3"],"itemData":{"id":414,"type":"article-journal","abstract":"Integral outer membrane receptors for iron chelates and vitamin B12 carry out specific ligand transport against a concentration gradient. Energy for active transport is obtained from the proton-motive force of the inner membrane through physical interaction with TonB-ExbB-ExbD, an inner membrane complex. Here we report the crystal structure of an active transport, outer membrane receptor at 2.4 A resolution. Two distinct functional domains are revealed: (i) a 22-stranded beta-barrel that spans the outer membrane and contains large extracellular loops which appear to function in ligand binding; and (ii) a globular N-terminal domain that folds into the barrel pore, inhibiting access to the periplasm and contributing two additional loops for potential ligand binding. These loops could provide a signaling pathway between the processes of ligand recognition and TonB-mediated transport. The blockage of the pore suggests that the N-terminal domain must undergo a conformational rearrangement to allow ligand transport into the periplasm.","container-title":"Nature Structural Biology","DOI":"10.1038/4931","ISSN":"1072-8368","issue":"1","journalAbbreviation":"Nat Struct Biol","language":"eng","note":"PMID: 9886293","page":"56-63","source":"PubMed","title":"Crystal structure of the outer membrane active transporter FepA from Escherichia coli","volume":"6","author":[{"family":"Buchanan","given":"S. K."},{"family":"Smith","given":"B. S."},{"family":"Venkatramani","given":"L."},{"family":"Xia","given":"D."},{"family":"Esser","given":"L."},{"family":"Palnitkar","given":"M."},{"family":"Chakraborty","given":"R."},{"family":"Helm","given":"D.","non-dropping-particle":"van der"},{"family":"Deisenhofer","given":"J."}],"issued":{"date-parts":[["1999",1]]}}}],"schema":"https://github.com/citation-style-language/schema/raw/master/csl-citation.json"}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(Buchanan et al., 1999)</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sz w:val="20"/>
              </w:rPr>
            </w:pPr>
            <w:r w:rsidRPr="0045064A">
              <w:rPr>
                <w:rFonts w:eastAsia="Yu Gothic"/>
                <w:sz w:val="20"/>
              </w:rPr>
              <w:t>FecA</w:t>
            </w:r>
          </w:p>
        </w:tc>
        <w:tc>
          <w:tcPr>
            <w:tcW w:w="998" w:type="dxa"/>
            <w:shd w:val="clear" w:color="auto" w:fill="auto"/>
            <w:noWrap/>
            <w:vAlign w:val="bottom"/>
            <w:hideMark/>
          </w:tcPr>
          <w:p w:rsidR="00663F4E" w:rsidRPr="0045064A" w:rsidRDefault="00663F4E" w:rsidP="00BF3B61">
            <w:pPr>
              <w:jc w:val="center"/>
              <w:rPr>
                <w:rFonts w:eastAsia="Yu Gothic"/>
                <w:sz w:val="20"/>
              </w:rPr>
            </w:pPr>
            <w:r w:rsidRPr="0045064A">
              <w:rPr>
                <w:rFonts w:eastAsia="Yu Gothic"/>
                <w:sz w:val="20"/>
              </w:rPr>
              <w:t>1KMO</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10.2210/pdb1KMO/pdb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{"citationID":"oFUAjehv","properties":{"formattedCitation":"(Ferguson et al., 2002)","plainCitation":"(Ferguson et al., 2002)","noteIndex":0},"citationItems":[{"id":416,"uris":["http://zotero.org/users/5404087/items/XFPDP8BR"],"uri":["http://zotero.org/users/5404087/items/XFPDP8BR"],"itemData":{"id":416,"type":"article-journal","abstract":"Siderophore-mediated acquisition systems facilitate iron uptake. We present the crystallographic structure of the integral outer membrane receptor FecA from Escherichia coli with and without ferric citrate at 2.5 and 2.0 angstrom resolution. FecA is composed of three distinct domains: the barrel, plug, and NH2-terminal extension. Binding of ferric citrate triggers a conformational change of the extracellular loops that close the external pocket of FecA. Ligand-induced allosteric transitions are propagated through the outer membrane by the plug domain, signaling the occupancy of the receptor in the periplasm. These data establish the structural basis of gating for receptors dependent on the cytoplasmic membrane protein TonB. By compiling available data for this family of receptors, we propose a mechanism for the energy-dependent transport of siderophores.","container-title":"Science (New York, N.Y.)","DOI":"10.1126/science.1067313","ISSN":"1095-9203","issue":"5560","journalAbbreviation":"Science","language":"eng","note":"PMID: 11872840","page":"1715-1719","source":"PubMed","title":"Structural basis of gating by the outer membrane transporter FecA","volume":"295","author":[{"family":"Ferguson","given":"Andrew D."},{"family":"Chakraborty","given":"Ranjan"},{"family":"Smith","given":"Barbara S."},{"family":"Esser","given":"Lothar"},{"family":"Helm","given":"Dick","non-dropping-particle":"van der"},{"family":"Deisenhofer","given":"Johann"}],"issued":{"date-parts":[["2002",3]]}}}],"schema":"https://github.com/citation-style-language/schema/raw/master/csl-citation.json"}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(Ferguson et al., 2002)</w:t>
            </w:r>
            <w:r w:rsidRPr="0045064A">
              <w:rPr>
                <w:rFonts w:eastAsia="Yu Gothic"/>
                <w:color w:val="000000"/>
                <w:sz w:val="20"/>
              </w:rPr>
              <w:fldChar w:fldCharType="end"/>
            </w:r>
          </w:p>
        </w:tc>
      </w:tr>
      <w:tr w:rsidR="00663F4E" w:rsidRPr="00865445" w:rsidTr="00BF3B61">
        <w:trPr>
          <w:trHeight w:val="360"/>
        </w:trPr>
        <w:tc>
          <w:tcPr>
            <w:tcW w:w="1696" w:type="dxa"/>
            <w:shd w:val="clear" w:color="auto" w:fill="auto"/>
            <w:noWrap/>
            <w:vAlign w:val="bottom"/>
            <w:hideMark/>
          </w:tcPr>
          <w:p w:rsidR="00663F4E" w:rsidRPr="0045064A" w:rsidRDefault="00663F4E" w:rsidP="00BF3B61">
            <w:pPr>
              <w:rPr>
                <w:rFonts w:eastAsia="Yu Gothic"/>
                <w:color w:val="000000"/>
                <w:sz w:val="20"/>
              </w:rPr>
            </w:pPr>
            <w:r w:rsidRPr="0045064A">
              <w:rPr>
                <w:rFonts w:eastAsia="Yu Gothic"/>
                <w:color w:val="000000"/>
                <w:sz w:val="20"/>
              </w:rPr>
              <w:t>PapC</w:t>
            </w:r>
          </w:p>
        </w:tc>
        <w:tc>
          <w:tcPr>
            <w:tcW w:w="998"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2VQI</w:t>
            </w:r>
          </w:p>
        </w:tc>
        <w:tc>
          <w:tcPr>
            <w:tcW w:w="2692" w:type="dxa"/>
            <w:shd w:val="clear" w:color="auto" w:fill="auto"/>
            <w:noWrap/>
            <w:vAlign w:val="bottom"/>
            <w:hideMark/>
          </w:tcPr>
          <w:p w:rsidR="00663F4E" w:rsidRPr="0045064A" w:rsidRDefault="00663F4E" w:rsidP="00BF3B61">
            <w:pPr>
              <w:jc w:val="center"/>
              <w:rPr>
                <w:rFonts w:eastAsia="Yu Gothic"/>
                <w:color w:val="000000"/>
                <w:sz w:val="20"/>
              </w:rPr>
            </w:pPr>
            <w:r w:rsidRPr="0045064A">
              <w:rPr>
                <w:rFonts w:eastAsia="Yu Gothic"/>
                <w:color w:val="000000"/>
                <w:sz w:val="20"/>
              </w:rPr>
              <w:t>10.2210/pdb2VQI/pdb</w:t>
            </w:r>
          </w:p>
        </w:tc>
        <w:tc>
          <w:tcPr>
            <w:tcW w:w="2970" w:type="dxa"/>
            <w:vAlign w:val="bottom"/>
          </w:tcPr>
          <w:p w:rsidR="00663F4E" w:rsidRPr="0045064A" w:rsidRDefault="00663F4E" w:rsidP="00BF3B61">
            <w:pPr>
              <w:jc w:val="cente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{"citationID":"EJECwuZp","properties":{"formattedCitation":"(Remaut et al., 2008)","plainCitation":"(Remaut et al., 2008)","noteIndex":0},"citationItems":[{"id":418,"uris":["http://zotero.org/users/5404087/items/BQHDYWTP"],"uri":["http://zotero.org/users/5404087/items/BQHDYWTP"],"itemData":{"id":418,"type":"article-journal","abstract":"Gram-negative pathogens commonly exhibit adhesive pili on their surfaces that mediate specific attachment to the host. A major class of pili is assembled via the chaperone/usher pathway. Here, the structural basis for pilus fiber assembly and secretion performed by the outer membrane assembly platform--the usher--is revealed by the crystal structure of the translocation domain of the P pilus usher PapC and single particle cryo-electron microscopy imaging of the FimD usher bound to a translocating type 1 pilus assembly intermediate. These structures provide molecular snapshots of a twinned-pore translocation machinery in action. Unexpectedly, only one pore is used for secretion, while both usher protomers are used for chaperone-subunit complex recruitment. The translocating pore itself comprises 24 beta strands and is occluded by a folded plug domain, likely gated by a conformationally constrained beta-hairpin. These structures capture the secretion of a virulence factor across the outer membrane of gram-negative bacteria.","container-title":"Cell","DOI":"10.1016/j.cell.2008.03.033","ISSN":"1097-4172","issue":"4","journalAbbreviation":"Cell","language":"eng","note":"PMID: 18485872\nPMCID: PMC3036173","page":"640-652","source":"PubMed","title":"Fiber formation across the bacterial outer membrane by the chaperone/usher pathway","volume":"133","author":[{"family":"Remaut","given":"Han"},{"family":"Tang","given":"Chunyan"},{"family":"Henderson","given":"Nadine S."},{"family":"Pinkner","given":"Jerome S."},{"family":"Wang","given":"Tao"},{"family":"Hultgren","given":"Scott J."},{"family":"Thanassi","given":"David G."},{"family":"Waksman","given":"Gabriel"},{"family":"Li","given":"Huilin"}],"issued":{"date-parts":[["2008",5]]}}}],"schema":"https://github.com/citation-style-language/schema/raw/master/csl-citation.json"}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(Remaut et al., 2008)</w:t>
            </w:r>
            <w:r w:rsidRPr="0045064A">
              <w:rPr>
                <w:rFonts w:eastAsia="Yu Gothic"/>
                <w:color w:val="000000"/>
                <w:sz w:val="20"/>
              </w:rPr>
              <w:fldChar w:fldCharType="end"/>
            </w:r>
          </w:p>
        </w:tc>
      </w:tr>
    </w:tbl>
    <w:p w:rsidR="00663F4E" w:rsidRDefault="00663F4E"/>
    <w:sectPr w:rsidR="00663F4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F4E"/>
    <w:rsid w:val="00663F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5F00D3F-ED28-9347-9A60-C506BB63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F4E"/>
    <w:rPr>
      <w:rFonts w:ascii="Times New Roman" w:eastAsia="Times New Roman" w:hAnsi="Times New Roman" w:cs="Times New Roman"/>
      <w:kern w:val="0"/>
      <w:sz w:val="24"/>
      <w:szCs w:val="20"/>
      <w:lang w:eastAsia="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6845</Words>
  <Characters>39023</Characters>
  <Application>Microsoft Office Word</Application>
  <DocSecurity>0</DocSecurity>
  <Lines>325</Lines>
  <Paragraphs>91</Paragraphs>
  <ScaleCrop>false</ScaleCrop>
  <Company/>
  <LinksUpToDate>false</LinksUpToDate>
  <CharactersWithSpaces>45777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dc:creator>
  <cp:keywords/>
  <dc:description/>
  <cp:lastModifiedBy>Shio</cp:lastModifiedBy>
  <cp:revision>1</cp:revision>
  <dcterms:created xsi:type="dcterms:W3CDTF">2023-12-26T08:16:00Z</dcterms:created>
  <dcterms:modified xsi:type="dcterms:W3CDTF">2023-12-26T08:16:00Z</dcterms:modified>
</cp:coreProperties>
</file>