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3251"/>
        <w:gridCol w:w="5811"/>
        <w:gridCol w:w="648"/>
        <w:gridCol w:w="10"/>
      </w:tblGrid>
      <w:tr w:rsidR="00F102CC" w14:paraId="737D6F7F" w14:textId="77777777" w:rsidTr="00414BEB">
        <w:trPr>
          <w:trHeight w:val="425"/>
        </w:trPr>
        <w:tc>
          <w:tcPr>
            <w:tcW w:w="32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58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414BEB">
        <w:trPr>
          <w:trHeight w:val="1047"/>
        </w:trPr>
        <w:tc>
          <w:tcPr>
            <w:tcW w:w="3251"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5811"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658" w:type="dxa"/>
            <w:gridSpan w:val="2"/>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414BEB">
        <w:trPr>
          <w:trHeight w:val="640"/>
        </w:trPr>
        <w:tc>
          <w:tcPr>
            <w:tcW w:w="3251"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5811"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58" w:type="dxa"/>
            <w:gridSpan w:val="2"/>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414BEB">
        <w:trPr>
          <w:trHeight w:val="425"/>
        </w:trPr>
        <w:tc>
          <w:tcPr>
            <w:tcW w:w="32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58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58"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414BEB">
        <w:trPr>
          <w:trHeight w:val="605"/>
        </w:trPr>
        <w:tc>
          <w:tcPr>
            <w:tcW w:w="3251"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4B861B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0BA44E3C" w14:textId="77777777" w:rsidR="006A60CA" w:rsidRDefault="006A60CA">
            <w:pPr>
              <w:rPr>
                <w:rFonts w:ascii="Noto Sans" w:eastAsia="Noto Sans" w:hAnsi="Noto Sans" w:cs="Noto Sans"/>
                <w:color w:val="434343"/>
                <w:sz w:val="18"/>
                <w:szCs w:val="18"/>
              </w:rPr>
            </w:pPr>
          </w:p>
          <w:p w14:paraId="403AF6F3" w14:textId="77777777" w:rsidR="006A60CA" w:rsidRDefault="006A60CA">
            <w:pPr>
              <w:rPr>
                <w:rFonts w:ascii="Noto Sans" w:eastAsia="Noto Sans" w:hAnsi="Noto Sans" w:cs="Noto Sans"/>
                <w:color w:val="434343"/>
                <w:sz w:val="18"/>
                <w:szCs w:val="18"/>
              </w:rPr>
            </w:pPr>
          </w:p>
        </w:tc>
        <w:tc>
          <w:tcPr>
            <w:tcW w:w="5811" w:type="dxa"/>
            <w:tcBorders>
              <w:top w:val="nil"/>
              <w:left w:val="nil"/>
              <w:bottom w:val="single" w:sz="8" w:space="0" w:color="000000"/>
              <w:right w:val="single" w:sz="8" w:space="0" w:color="000000"/>
            </w:tcBorders>
            <w:tcMar>
              <w:top w:w="100" w:type="dxa"/>
              <w:left w:w="120" w:type="dxa"/>
              <w:bottom w:w="100" w:type="dxa"/>
              <w:right w:w="120" w:type="dxa"/>
            </w:tcMar>
          </w:tcPr>
          <w:tbl>
            <w:tblPr>
              <w:tblW w:w="7818" w:type="dxa"/>
              <w:tblLook w:val="04A0" w:firstRow="1" w:lastRow="0" w:firstColumn="1" w:lastColumn="0" w:noHBand="0" w:noVBand="1"/>
            </w:tblPr>
            <w:tblGrid>
              <w:gridCol w:w="1420"/>
              <w:gridCol w:w="1417"/>
              <w:gridCol w:w="1276"/>
              <w:gridCol w:w="3705"/>
            </w:tblGrid>
            <w:tr w:rsidR="00414BEB" w:rsidRPr="00B7786C" w14:paraId="76FEAEB0" w14:textId="77777777" w:rsidTr="00414BEB">
              <w:tc>
                <w:tcPr>
                  <w:tcW w:w="1420" w:type="dxa"/>
                  <w:tcBorders>
                    <w:top w:val="single" w:sz="4" w:space="0" w:color="auto"/>
                    <w:left w:val="single" w:sz="4" w:space="0" w:color="auto"/>
                    <w:bottom w:val="single" w:sz="4" w:space="0" w:color="auto"/>
                    <w:right w:val="single" w:sz="4" w:space="0" w:color="auto"/>
                  </w:tcBorders>
                </w:tcPr>
                <w:p w14:paraId="4670E64F"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Target</w:t>
                  </w:r>
                </w:p>
              </w:tc>
              <w:tc>
                <w:tcPr>
                  <w:tcW w:w="1417" w:type="dxa"/>
                  <w:tcBorders>
                    <w:top w:val="single" w:sz="4" w:space="0" w:color="auto"/>
                    <w:left w:val="single" w:sz="4" w:space="0" w:color="auto"/>
                    <w:bottom w:val="single" w:sz="4" w:space="0" w:color="auto"/>
                    <w:right w:val="single" w:sz="4" w:space="0" w:color="auto"/>
                  </w:tcBorders>
                </w:tcPr>
                <w:p w14:paraId="74403C8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Conjugate</w:t>
                  </w:r>
                </w:p>
              </w:tc>
              <w:tc>
                <w:tcPr>
                  <w:tcW w:w="1276" w:type="dxa"/>
                  <w:tcBorders>
                    <w:top w:val="single" w:sz="4" w:space="0" w:color="auto"/>
                    <w:left w:val="single" w:sz="4" w:space="0" w:color="auto"/>
                    <w:bottom w:val="single" w:sz="4" w:space="0" w:color="auto"/>
                    <w:right w:val="single" w:sz="4" w:space="0" w:color="auto"/>
                  </w:tcBorders>
                </w:tcPr>
                <w:p w14:paraId="5F5E694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Clone</w:t>
                  </w:r>
                </w:p>
              </w:tc>
              <w:tc>
                <w:tcPr>
                  <w:tcW w:w="3705" w:type="dxa"/>
                  <w:tcBorders>
                    <w:top w:val="single" w:sz="4" w:space="0" w:color="auto"/>
                    <w:left w:val="single" w:sz="4" w:space="0" w:color="auto"/>
                    <w:bottom w:val="single" w:sz="4" w:space="0" w:color="auto"/>
                    <w:right w:val="single" w:sz="4" w:space="0" w:color="auto"/>
                  </w:tcBorders>
                </w:tcPr>
                <w:p w14:paraId="43FA5E41"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Vendor</w:t>
                  </w:r>
                </w:p>
              </w:tc>
            </w:tr>
            <w:tr w:rsidR="00414BEB" w:rsidRPr="00B7786C" w14:paraId="1FC55D08" w14:textId="77777777" w:rsidTr="00414BEB">
              <w:tc>
                <w:tcPr>
                  <w:tcW w:w="1420" w:type="dxa"/>
                  <w:tcBorders>
                    <w:top w:val="single" w:sz="4" w:space="0" w:color="auto"/>
                  </w:tcBorders>
                </w:tcPr>
                <w:p w14:paraId="2380964B"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Siglec</w:t>
                  </w:r>
                  <w:proofErr w:type="spellEnd"/>
                  <w:r w:rsidRPr="00B7786C">
                    <w:rPr>
                      <w:rFonts w:ascii="Noto Sans" w:hAnsi="Noto Sans" w:cs="Noto Sans"/>
                      <w:sz w:val="18"/>
                      <w:szCs w:val="18"/>
                    </w:rPr>
                    <w:t xml:space="preserve">-F </w:t>
                  </w:r>
                </w:p>
              </w:tc>
              <w:tc>
                <w:tcPr>
                  <w:tcW w:w="1417" w:type="dxa"/>
                  <w:tcBorders>
                    <w:top w:val="single" w:sz="4" w:space="0" w:color="auto"/>
                  </w:tcBorders>
                </w:tcPr>
                <w:p w14:paraId="1712749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PE</w:t>
                  </w:r>
                </w:p>
              </w:tc>
              <w:tc>
                <w:tcPr>
                  <w:tcW w:w="1276" w:type="dxa"/>
                  <w:tcBorders>
                    <w:top w:val="single" w:sz="4" w:space="0" w:color="auto"/>
                  </w:tcBorders>
                </w:tcPr>
                <w:p w14:paraId="3A0EB6CB" w14:textId="4508A16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E50-2440</w:t>
                  </w:r>
                </w:p>
              </w:tc>
              <w:tc>
                <w:tcPr>
                  <w:tcW w:w="3705" w:type="dxa"/>
                  <w:tcBorders>
                    <w:top w:val="single" w:sz="4" w:space="0" w:color="auto"/>
                  </w:tcBorders>
                </w:tcPr>
                <w:p w14:paraId="6187549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4FAD8300" w14:textId="77777777" w:rsidTr="00414BEB">
              <w:tc>
                <w:tcPr>
                  <w:tcW w:w="1420" w:type="dxa"/>
                </w:tcPr>
                <w:p w14:paraId="718EC18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IL-5 </w:t>
                  </w:r>
                </w:p>
              </w:tc>
              <w:tc>
                <w:tcPr>
                  <w:tcW w:w="1417" w:type="dxa"/>
                </w:tcPr>
                <w:p w14:paraId="0CA2B4F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PE</w:t>
                  </w:r>
                </w:p>
              </w:tc>
              <w:tc>
                <w:tcPr>
                  <w:tcW w:w="1276" w:type="dxa"/>
                </w:tcPr>
                <w:p w14:paraId="5905B45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TRFK5</w:t>
                  </w:r>
                </w:p>
              </w:tc>
              <w:tc>
                <w:tcPr>
                  <w:tcW w:w="3705" w:type="dxa"/>
                </w:tcPr>
                <w:p w14:paraId="4AE50995"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23697294" w14:textId="77777777" w:rsidTr="00414BEB">
              <w:tc>
                <w:tcPr>
                  <w:tcW w:w="1420" w:type="dxa"/>
                </w:tcPr>
                <w:p w14:paraId="4E878A1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Ki67 </w:t>
                  </w:r>
                </w:p>
              </w:tc>
              <w:tc>
                <w:tcPr>
                  <w:tcW w:w="1417" w:type="dxa"/>
                </w:tcPr>
                <w:p w14:paraId="40C96E3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PE</w:t>
                  </w:r>
                </w:p>
              </w:tc>
              <w:tc>
                <w:tcPr>
                  <w:tcW w:w="1276" w:type="dxa"/>
                </w:tcPr>
                <w:p w14:paraId="0A9545D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B56</w:t>
                  </w:r>
                </w:p>
              </w:tc>
              <w:tc>
                <w:tcPr>
                  <w:tcW w:w="3705" w:type="dxa"/>
                </w:tcPr>
                <w:p w14:paraId="1BA4FC2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7F1541DE" w14:textId="77777777" w:rsidTr="00414BEB">
              <w:tc>
                <w:tcPr>
                  <w:tcW w:w="1420" w:type="dxa"/>
                </w:tcPr>
                <w:p w14:paraId="1F5D6385"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CD44</w:t>
                  </w:r>
                </w:p>
              </w:tc>
              <w:tc>
                <w:tcPr>
                  <w:tcW w:w="1417" w:type="dxa"/>
                </w:tcPr>
                <w:p w14:paraId="5CBFB14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PE</w:t>
                  </w:r>
                </w:p>
              </w:tc>
              <w:tc>
                <w:tcPr>
                  <w:tcW w:w="1276" w:type="dxa"/>
                </w:tcPr>
                <w:p w14:paraId="41016B21"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KM114</w:t>
                  </w:r>
                </w:p>
              </w:tc>
              <w:tc>
                <w:tcPr>
                  <w:tcW w:w="3705" w:type="dxa"/>
                </w:tcPr>
                <w:p w14:paraId="6E77A581"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35E53D72" w14:textId="77777777" w:rsidTr="00414BEB">
              <w:tc>
                <w:tcPr>
                  <w:tcW w:w="1420" w:type="dxa"/>
                </w:tcPr>
                <w:p w14:paraId="6D8CD32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IL-33</w:t>
                  </w:r>
                </w:p>
              </w:tc>
              <w:tc>
                <w:tcPr>
                  <w:tcW w:w="1417" w:type="dxa"/>
                </w:tcPr>
                <w:p w14:paraId="4E8DD34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PE</w:t>
                  </w:r>
                </w:p>
              </w:tc>
              <w:tc>
                <w:tcPr>
                  <w:tcW w:w="1276" w:type="dxa"/>
                </w:tcPr>
                <w:p w14:paraId="31EFA06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396118</w:t>
                  </w:r>
                </w:p>
              </w:tc>
              <w:tc>
                <w:tcPr>
                  <w:tcW w:w="3705" w:type="dxa"/>
                </w:tcPr>
                <w:p w14:paraId="50E9D6E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Invitrogen</w:t>
                  </w:r>
                </w:p>
              </w:tc>
            </w:tr>
            <w:tr w:rsidR="00414BEB" w:rsidRPr="00B7786C" w14:paraId="630411BC" w14:textId="77777777" w:rsidTr="00414BEB">
              <w:tc>
                <w:tcPr>
                  <w:tcW w:w="1420" w:type="dxa"/>
                </w:tcPr>
                <w:p w14:paraId="367311B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Ly6G</w:t>
                  </w:r>
                </w:p>
              </w:tc>
              <w:tc>
                <w:tcPr>
                  <w:tcW w:w="1417" w:type="dxa"/>
                </w:tcPr>
                <w:p w14:paraId="777C328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FITC</w:t>
                  </w:r>
                </w:p>
              </w:tc>
              <w:tc>
                <w:tcPr>
                  <w:tcW w:w="1276" w:type="dxa"/>
                </w:tcPr>
                <w:p w14:paraId="72AB986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1A8</w:t>
                  </w:r>
                </w:p>
              </w:tc>
              <w:tc>
                <w:tcPr>
                  <w:tcW w:w="3705" w:type="dxa"/>
                </w:tcPr>
                <w:p w14:paraId="3C033B3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67F6956C" w14:textId="77777777" w:rsidTr="00414BEB">
              <w:tc>
                <w:tcPr>
                  <w:tcW w:w="1420" w:type="dxa"/>
                </w:tcPr>
                <w:p w14:paraId="2E294831" w14:textId="1BCB9155" w:rsidR="00414BEB"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CD95</w:t>
                  </w:r>
                </w:p>
              </w:tc>
              <w:tc>
                <w:tcPr>
                  <w:tcW w:w="1417" w:type="dxa"/>
                </w:tcPr>
                <w:p w14:paraId="00C3530D" w14:textId="1E450666" w:rsidR="00414BEB"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Texas Red</w:t>
                  </w:r>
                </w:p>
              </w:tc>
              <w:tc>
                <w:tcPr>
                  <w:tcW w:w="1276" w:type="dxa"/>
                </w:tcPr>
                <w:p w14:paraId="6055C5A1" w14:textId="79340324" w:rsidR="00414BEB"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Jo2</w:t>
                  </w:r>
                </w:p>
              </w:tc>
              <w:tc>
                <w:tcPr>
                  <w:tcW w:w="3705" w:type="dxa"/>
                </w:tcPr>
                <w:p w14:paraId="558B9C43" w14:textId="0EABD51B" w:rsidR="00414BEB"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1601ECEF" w14:textId="77777777" w:rsidTr="00414BEB">
              <w:tc>
                <w:tcPr>
                  <w:tcW w:w="1420" w:type="dxa"/>
                </w:tcPr>
                <w:p w14:paraId="79CF3D54"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IgD</w:t>
                  </w:r>
                  <w:proofErr w:type="spellEnd"/>
                </w:p>
              </w:tc>
              <w:tc>
                <w:tcPr>
                  <w:tcW w:w="1417" w:type="dxa"/>
                </w:tcPr>
                <w:p w14:paraId="1E70AB5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FITC</w:t>
                  </w:r>
                </w:p>
              </w:tc>
              <w:tc>
                <w:tcPr>
                  <w:tcW w:w="1276" w:type="dxa"/>
                </w:tcPr>
                <w:p w14:paraId="6369EAC4"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11-26C2a</w:t>
                  </w:r>
                </w:p>
              </w:tc>
              <w:tc>
                <w:tcPr>
                  <w:tcW w:w="3705" w:type="dxa"/>
                </w:tcPr>
                <w:p w14:paraId="716049F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12ADD260" w14:textId="77777777" w:rsidTr="00414BEB">
              <w:tc>
                <w:tcPr>
                  <w:tcW w:w="1420" w:type="dxa"/>
                </w:tcPr>
                <w:p w14:paraId="62EB57D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IL-4</w:t>
                  </w:r>
                </w:p>
              </w:tc>
              <w:tc>
                <w:tcPr>
                  <w:tcW w:w="1417" w:type="dxa"/>
                </w:tcPr>
                <w:p w14:paraId="79953308"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FITC</w:t>
                  </w:r>
                </w:p>
              </w:tc>
              <w:tc>
                <w:tcPr>
                  <w:tcW w:w="1276" w:type="dxa"/>
                </w:tcPr>
                <w:p w14:paraId="6BD3C3FF"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11B11</w:t>
                  </w:r>
                </w:p>
              </w:tc>
              <w:tc>
                <w:tcPr>
                  <w:tcW w:w="3705" w:type="dxa"/>
                </w:tcPr>
                <w:p w14:paraId="361304D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0A4D429E" w14:textId="77777777" w:rsidTr="00414BEB">
              <w:tc>
                <w:tcPr>
                  <w:tcW w:w="1420" w:type="dxa"/>
                </w:tcPr>
                <w:p w14:paraId="316C62A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SCA-1 </w:t>
                  </w:r>
                </w:p>
              </w:tc>
              <w:tc>
                <w:tcPr>
                  <w:tcW w:w="1417" w:type="dxa"/>
                </w:tcPr>
                <w:p w14:paraId="26124A5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FITC</w:t>
                  </w:r>
                </w:p>
              </w:tc>
              <w:tc>
                <w:tcPr>
                  <w:tcW w:w="1276" w:type="dxa"/>
                </w:tcPr>
                <w:p w14:paraId="26BB7826"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D7</w:t>
                  </w:r>
                </w:p>
              </w:tc>
              <w:tc>
                <w:tcPr>
                  <w:tcW w:w="3705" w:type="dxa"/>
                </w:tcPr>
                <w:p w14:paraId="00FD23A6"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eBiosciences</w:t>
                  </w:r>
                  <w:proofErr w:type="spellEnd"/>
                </w:p>
              </w:tc>
            </w:tr>
            <w:tr w:rsidR="00414BEB" w:rsidRPr="00B7786C" w14:paraId="639FDF6D" w14:textId="77777777" w:rsidTr="00414BEB">
              <w:tc>
                <w:tcPr>
                  <w:tcW w:w="1420" w:type="dxa"/>
                </w:tcPr>
                <w:p w14:paraId="51015A6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PD-1</w:t>
                  </w:r>
                </w:p>
              </w:tc>
              <w:tc>
                <w:tcPr>
                  <w:tcW w:w="1417" w:type="dxa"/>
                </w:tcPr>
                <w:p w14:paraId="3BF6E15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FITC</w:t>
                  </w:r>
                </w:p>
              </w:tc>
              <w:tc>
                <w:tcPr>
                  <w:tcW w:w="1276" w:type="dxa"/>
                </w:tcPr>
                <w:p w14:paraId="092F0798"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29F.1A12</w:t>
                  </w:r>
                </w:p>
              </w:tc>
              <w:tc>
                <w:tcPr>
                  <w:tcW w:w="3705" w:type="dxa"/>
                </w:tcPr>
                <w:p w14:paraId="6C430EE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2A1540DE" w14:textId="77777777" w:rsidTr="00414BEB">
              <w:tc>
                <w:tcPr>
                  <w:tcW w:w="1420" w:type="dxa"/>
                </w:tcPr>
                <w:p w14:paraId="074B504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mouse alpha muscle actin</w:t>
                  </w:r>
                </w:p>
              </w:tc>
              <w:tc>
                <w:tcPr>
                  <w:tcW w:w="1417" w:type="dxa"/>
                </w:tcPr>
                <w:p w14:paraId="6F52D0E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FITC</w:t>
                  </w:r>
                </w:p>
              </w:tc>
              <w:tc>
                <w:tcPr>
                  <w:tcW w:w="1276" w:type="dxa"/>
                </w:tcPr>
                <w:p w14:paraId="5724774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ab8211-500</w:t>
                  </w:r>
                </w:p>
              </w:tc>
              <w:tc>
                <w:tcPr>
                  <w:tcW w:w="3705" w:type="dxa"/>
                </w:tcPr>
                <w:p w14:paraId="2D016891"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Abcam</w:t>
                  </w:r>
                </w:p>
              </w:tc>
            </w:tr>
            <w:tr w:rsidR="00414BEB" w:rsidRPr="00B7786C" w14:paraId="0D651ABC" w14:textId="77777777" w:rsidTr="00414BEB">
              <w:tc>
                <w:tcPr>
                  <w:tcW w:w="1420" w:type="dxa"/>
                </w:tcPr>
                <w:p w14:paraId="0C66555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T1/ST2 (IL-33R)</w:t>
                  </w:r>
                </w:p>
              </w:tc>
              <w:tc>
                <w:tcPr>
                  <w:tcW w:w="1417" w:type="dxa"/>
                </w:tcPr>
                <w:p w14:paraId="4CE502D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FITC</w:t>
                  </w:r>
                </w:p>
              </w:tc>
              <w:tc>
                <w:tcPr>
                  <w:tcW w:w="1276" w:type="dxa"/>
                </w:tcPr>
                <w:p w14:paraId="08AB8F5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DJ8</w:t>
                  </w:r>
                </w:p>
              </w:tc>
              <w:tc>
                <w:tcPr>
                  <w:tcW w:w="3705" w:type="dxa"/>
                </w:tcPr>
                <w:p w14:paraId="38A7834E"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md bioproducts</w:t>
                  </w:r>
                </w:p>
              </w:tc>
            </w:tr>
            <w:tr w:rsidR="00414BEB" w:rsidRPr="00B7786C" w14:paraId="1DDAA79B" w14:textId="77777777" w:rsidTr="00414BEB">
              <w:tc>
                <w:tcPr>
                  <w:tcW w:w="1420" w:type="dxa"/>
                </w:tcPr>
                <w:p w14:paraId="7ABF5823"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Ly6C </w:t>
                  </w:r>
                </w:p>
              </w:tc>
              <w:tc>
                <w:tcPr>
                  <w:tcW w:w="1417" w:type="dxa"/>
                </w:tcPr>
                <w:p w14:paraId="19A53F9D"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PerCP</w:t>
                  </w:r>
                  <w:proofErr w:type="spellEnd"/>
                  <w:r w:rsidRPr="00B7786C">
                    <w:rPr>
                      <w:rFonts w:ascii="Noto Sans" w:hAnsi="Noto Sans" w:cs="Noto Sans"/>
                      <w:sz w:val="18"/>
                      <w:szCs w:val="18"/>
                    </w:rPr>
                    <w:t xml:space="preserve"> Cy5.5</w:t>
                  </w:r>
                </w:p>
              </w:tc>
              <w:tc>
                <w:tcPr>
                  <w:tcW w:w="1276" w:type="dxa"/>
                </w:tcPr>
                <w:p w14:paraId="7386181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AL-21</w:t>
                  </w:r>
                </w:p>
              </w:tc>
              <w:tc>
                <w:tcPr>
                  <w:tcW w:w="3705" w:type="dxa"/>
                </w:tcPr>
                <w:p w14:paraId="7A58059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5DC43B0E" w14:textId="77777777" w:rsidTr="00414BEB">
              <w:tc>
                <w:tcPr>
                  <w:tcW w:w="1420" w:type="dxa"/>
                </w:tcPr>
                <w:p w14:paraId="685C98A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CD45.1</w:t>
                  </w:r>
                </w:p>
              </w:tc>
              <w:tc>
                <w:tcPr>
                  <w:tcW w:w="1417" w:type="dxa"/>
                </w:tcPr>
                <w:p w14:paraId="435868F3"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PerCP</w:t>
                  </w:r>
                  <w:proofErr w:type="spellEnd"/>
                  <w:r w:rsidRPr="00B7786C">
                    <w:rPr>
                      <w:rFonts w:ascii="Noto Sans" w:hAnsi="Noto Sans" w:cs="Noto Sans"/>
                      <w:sz w:val="18"/>
                      <w:szCs w:val="18"/>
                    </w:rPr>
                    <w:t xml:space="preserve"> Cy5.5</w:t>
                  </w:r>
                </w:p>
              </w:tc>
              <w:tc>
                <w:tcPr>
                  <w:tcW w:w="1276" w:type="dxa"/>
                </w:tcPr>
                <w:p w14:paraId="31BF13E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A20</w:t>
                  </w:r>
                </w:p>
              </w:tc>
              <w:tc>
                <w:tcPr>
                  <w:tcW w:w="3705" w:type="dxa"/>
                </w:tcPr>
                <w:p w14:paraId="0A6B9F2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3EB7ADF2" w14:textId="77777777" w:rsidTr="00414BEB">
              <w:tc>
                <w:tcPr>
                  <w:tcW w:w="1420" w:type="dxa"/>
                </w:tcPr>
                <w:p w14:paraId="4C1A7D46"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IL-17A</w:t>
                  </w:r>
                </w:p>
              </w:tc>
              <w:tc>
                <w:tcPr>
                  <w:tcW w:w="1417" w:type="dxa"/>
                </w:tcPr>
                <w:p w14:paraId="2F44C391"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PerCP</w:t>
                  </w:r>
                  <w:proofErr w:type="spellEnd"/>
                  <w:r w:rsidRPr="00B7786C">
                    <w:rPr>
                      <w:rFonts w:ascii="Noto Sans" w:hAnsi="Noto Sans" w:cs="Noto Sans"/>
                      <w:sz w:val="18"/>
                      <w:szCs w:val="18"/>
                    </w:rPr>
                    <w:t xml:space="preserve"> Cy5.5</w:t>
                  </w:r>
                </w:p>
              </w:tc>
              <w:tc>
                <w:tcPr>
                  <w:tcW w:w="1276" w:type="dxa"/>
                </w:tcPr>
                <w:p w14:paraId="7C0F630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TC11-18H10</w:t>
                  </w:r>
                </w:p>
              </w:tc>
              <w:tc>
                <w:tcPr>
                  <w:tcW w:w="3705" w:type="dxa"/>
                </w:tcPr>
                <w:p w14:paraId="7557A73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5C7D8133" w14:textId="77777777" w:rsidTr="00414BEB">
              <w:tc>
                <w:tcPr>
                  <w:tcW w:w="1420" w:type="dxa"/>
                </w:tcPr>
                <w:p w14:paraId="2798EE3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Lineage </w:t>
                  </w:r>
                  <w:r w:rsidRPr="00B7786C">
                    <w:rPr>
                      <w:rFonts w:ascii="Noto Sans" w:hAnsi="Noto Sans" w:cs="Noto Sans"/>
                      <w:sz w:val="18"/>
                      <w:szCs w:val="18"/>
                    </w:rPr>
                    <w:lastRenderedPageBreak/>
                    <w:t>cocktail</w:t>
                  </w:r>
                </w:p>
              </w:tc>
              <w:tc>
                <w:tcPr>
                  <w:tcW w:w="1417" w:type="dxa"/>
                </w:tcPr>
                <w:p w14:paraId="30F76A88"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lastRenderedPageBreak/>
                    <w:t>PerCP</w:t>
                  </w:r>
                  <w:proofErr w:type="spellEnd"/>
                  <w:r w:rsidRPr="00B7786C">
                    <w:rPr>
                      <w:rFonts w:ascii="Noto Sans" w:hAnsi="Noto Sans" w:cs="Noto Sans"/>
                      <w:sz w:val="18"/>
                      <w:szCs w:val="18"/>
                    </w:rPr>
                    <w:t xml:space="preserve"> Cy5.5</w:t>
                  </w:r>
                </w:p>
              </w:tc>
              <w:tc>
                <w:tcPr>
                  <w:tcW w:w="1276" w:type="dxa"/>
                </w:tcPr>
                <w:p w14:paraId="1EBE9FE0" w14:textId="77777777" w:rsidR="00414BEB" w:rsidRPr="00B7786C" w:rsidRDefault="00414BEB" w:rsidP="00414BEB">
                  <w:pPr>
                    <w:autoSpaceDE w:val="0"/>
                    <w:autoSpaceDN w:val="0"/>
                    <w:adjustRightInd w:val="0"/>
                    <w:rPr>
                      <w:rFonts w:ascii="Noto Sans" w:hAnsi="Noto Sans" w:cs="Noto Sans"/>
                      <w:sz w:val="18"/>
                      <w:szCs w:val="18"/>
                    </w:rPr>
                  </w:pPr>
                </w:p>
              </w:tc>
              <w:tc>
                <w:tcPr>
                  <w:tcW w:w="3705" w:type="dxa"/>
                </w:tcPr>
                <w:p w14:paraId="12081E4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027B6639" w14:textId="77777777" w:rsidTr="00414BEB">
              <w:tc>
                <w:tcPr>
                  <w:tcW w:w="1420" w:type="dxa"/>
                </w:tcPr>
                <w:p w14:paraId="55D25658"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CD11c</w:t>
                  </w:r>
                </w:p>
              </w:tc>
              <w:tc>
                <w:tcPr>
                  <w:tcW w:w="1417" w:type="dxa"/>
                </w:tcPr>
                <w:p w14:paraId="01475F7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APC</w:t>
                  </w:r>
                </w:p>
              </w:tc>
              <w:tc>
                <w:tcPr>
                  <w:tcW w:w="1276" w:type="dxa"/>
                </w:tcPr>
                <w:p w14:paraId="2A26F901"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HL3</w:t>
                  </w:r>
                </w:p>
              </w:tc>
              <w:tc>
                <w:tcPr>
                  <w:tcW w:w="3705" w:type="dxa"/>
                </w:tcPr>
                <w:p w14:paraId="342B76D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6BB72359" w14:textId="77777777" w:rsidTr="00414BEB">
              <w:tc>
                <w:tcPr>
                  <w:tcW w:w="1420" w:type="dxa"/>
                </w:tcPr>
                <w:p w14:paraId="530D4C7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IL-10</w:t>
                  </w:r>
                </w:p>
              </w:tc>
              <w:tc>
                <w:tcPr>
                  <w:tcW w:w="1417" w:type="dxa"/>
                </w:tcPr>
                <w:p w14:paraId="403A884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APC</w:t>
                  </w:r>
                </w:p>
              </w:tc>
              <w:tc>
                <w:tcPr>
                  <w:tcW w:w="1276" w:type="dxa"/>
                </w:tcPr>
                <w:p w14:paraId="208B9A5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JES5-16E3</w:t>
                  </w:r>
                </w:p>
              </w:tc>
              <w:tc>
                <w:tcPr>
                  <w:tcW w:w="3705" w:type="dxa"/>
                </w:tcPr>
                <w:p w14:paraId="26AD919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4B29AE1C" w14:textId="77777777" w:rsidTr="00414BEB">
              <w:tc>
                <w:tcPr>
                  <w:tcW w:w="1420" w:type="dxa"/>
                </w:tcPr>
                <w:p w14:paraId="6BD3F0D6"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FoxP3</w:t>
                  </w:r>
                </w:p>
              </w:tc>
              <w:tc>
                <w:tcPr>
                  <w:tcW w:w="1417" w:type="dxa"/>
                </w:tcPr>
                <w:p w14:paraId="3CCB23F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APC</w:t>
                  </w:r>
                </w:p>
              </w:tc>
              <w:tc>
                <w:tcPr>
                  <w:tcW w:w="1276" w:type="dxa"/>
                </w:tcPr>
                <w:p w14:paraId="582FE664"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MF23</w:t>
                  </w:r>
                </w:p>
              </w:tc>
              <w:tc>
                <w:tcPr>
                  <w:tcW w:w="3705" w:type="dxa"/>
                </w:tcPr>
                <w:p w14:paraId="40A6697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1E8E0B6A" w14:textId="77777777" w:rsidTr="00414BEB">
              <w:tc>
                <w:tcPr>
                  <w:tcW w:w="1420" w:type="dxa"/>
                </w:tcPr>
                <w:p w14:paraId="19094FE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CD5</w:t>
                  </w:r>
                </w:p>
              </w:tc>
              <w:tc>
                <w:tcPr>
                  <w:tcW w:w="1417" w:type="dxa"/>
                </w:tcPr>
                <w:p w14:paraId="154A06D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APC</w:t>
                  </w:r>
                </w:p>
              </w:tc>
              <w:tc>
                <w:tcPr>
                  <w:tcW w:w="1276" w:type="dxa"/>
                </w:tcPr>
                <w:p w14:paraId="53F51E0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53-7.3</w:t>
                  </w:r>
                </w:p>
              </w:tc>
              <w:tc>
                <w:tcPr>
                  <w:tcW w:w="3705" w:type="dxa"/>
                </w:tcPr>
                <w:p w14:paraId="7D8CD32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540D1C17" w14:textId="77777777" w:rsidTr="00414BEB">
              <w:tc>
                <w:tcPr>
                  <w:tcW w:w="1420" w:type="dxa"/>
                </w:tcPr>
                <w:p w14:paraId="4A589F7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CD11b </w:t>
                  </w:r>
                </w:p>
              </w:tc>
              <w:tc>
                <w:tcPr>
                  <w:tcW w:w="1417" w:type="dxa"/>
                </w:tcPr>
                <w:p w14:paraId="44EAC71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V450/BV421</w:t>
                  </w:r>
                </w:p>
              </w:tc>
              <w:tc>
                <w:tcPr>
                  <w:tcW w:w="1276" w:type="dxa"/>
                </w:tcPr>
                <w:p w14:paraId="7DE57B6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M1/70</w:t>
                  </w:r>
                </w:p>
              </w:tc>
              <w:tc>
                <w:tcPr>
                  <w:tcW w:w="3705" w:type="dxa"/>
                </w:tcPr>
                <w:p w14:paraId="67BCE0E8"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6FDC8647" w14:textId="77777777" w:rsidTr="00414BEB">
              <w:tc>
                <w:tcPr>
                  <w:tcW w:w="1420" w:type="dxa"/>
                </w:tcPr>
                <w:p w14:paraId="15FB8935"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CD62L</w:t>
                  </w:r>
                </w:p>
              </w:tc>
              <w:tc>
                <w:tcPr>
                  <w:tcW w:w="1417" w:type="dxa"/>
                </w:tcPr>
                <w:p w14:paraId="6DCB6A7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V450/BV421</w:t>
                  </w:r>
                </w:p>
              </w:tc>
              <w:tc>
                <w:tcPr>
                  <w:tcW w:w="1276" w:type="dxa"/>
                </w:tcPr>
                <w:p w14:paraId="2FC0BB5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MEL-14</w:t>
                  </w:r>
                </w:p>
              </w:tc>
              <w:tc>
                <w:tcPr>
                  <w:tcW w:w="3705" w:type="dxa"/>
                </w:tcPr>
                <w:p w14:paraId="0FDEC29C"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6864BF19" w14:textId="77777777" w:rsidTr="00414BEB">
              <w:tc>
                <w:tcPr>
                  <w:tcW w:w="1420" w:type="dxa"/>
                </w:tcPr>
                <w:p w14:paraId="7A18470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IgG1</w:t>
                  </w:r>
                </w:p>
              </w:tc>
              <w:tc>
                <w:tcPr>
                  <w:tcW w:w="1417" w:type="dxa"/>
                </w:tcPr>
                <w:p w14:paraId="106AC845"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V450/BV421</w:t>
                  </w:r>
                </w:p>
              </w:tc>
              <w:tc>
                <w:tcPr>
                  <w:tcW w:w="1276" w:type="dxa"/>
                </w:tcPr>
                <w:p w14:paraId="6B91ACFF"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A110-1</w:t>
                  </w:r>
                </w:p>
              </w:tc>
              <w:tc>
                <w:tcPr>
                  <w:tcW w:w="3705" w:type="dxa"/>
                </w:tcPr>
                <w:p w14:paraId="4EA699BD"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673B2563" w14:textId="77777777" w:rsidTr="00414BEB">
              <w:tc>
                <w:tcPr>
                  <w:tcW w:w="1420" w:type="dxa"/>
                </w:tcPr>
                <w:p w14:paraId="7C04214F"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CD3ε </w:t>
                  </w:r>
                </w:p>
              </w:tc>
              <w:tc>
                <w:tcPr>
                  <w:tcW w:w="1417" w:type="dxa"/>
                </w:tcPr>
                <w:p w14:paraId="457EBDDF"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AF700</w:t>
                  </w:r>
                </w:p>
              </w:tc>
              <w:tc>
                <w:tcPr>
                  <w:tcW w:w="1276" w:type="dxa"/>
                </w:tcPr>
                <w:p w14:paraId="2A46FCB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145-2C11</w:t>
                  </w:r>
                </w:p>
              </w:tc>
              <w:tc>
                <w:tcPr>
                  <w:tcW w:w="3705" w:type="dxa"/>
                </w:tcPr>
                <w:p w14:paraId="0058BC44"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1383DBFF" w14:textId="77777777" w:rsidTr="00414BEB">
              <w:tc>
                <w:tcPr>
                  <w:tcW w:w="1420" w:type="dxa"/>
                </w:tcPr>
                <w:p w14:paraId="63163901"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IFN-γ</w:t>
                  </w:r>
                </w:p>
              </w:tc>
              <w:tc>
                <w:tcPr>
                  <w:tcW w:w="1417" w:type="dxa"/>
                </w:tcPr>
                <w:p w14:paraId="6695D51F"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AF700</w:t>
                  </w:r>
                </w:p>
              </w:tc>
              <w:tc>
                <w:tcPr>
                  <w:tcW w:w="1276" w:type="dxa"/>
                </w:tcPr>
                <w:p w14:paraId="1D1DE67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XMG1.2</w:t>
                  </w:r>
                </w:p>
              </w:tc>
              <w:tc>
                <w:tcPr>
                  <w:tcW w:w="3705" w:type="dxa"/>
                </w:tcPr>
                <w:p w14:paraId="1F1F6C2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18C00001" w14:textId="77777777" w:rsidTr="00414BEB">
              <w:tc>
                <w:tcPr>
                  <w:tcW w:w="1420" w:type="dxa"/>
                </w:tcPr>
                <w:p w14:paraId="449B8D58"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MHC II</w:t>
                  </w:r>
                </w:p>
              </w:tc>
              <w:tc>
                <w:tcPr>
                  <w:tcW w:w="1417" w:type="dxa"/>
                </w:tcPr>
                <w:p w14:paraId="1E8A3C4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AF700</w:t>
                  </w:r>
                </w:p>
              </w:tc>
              <w:tc>
                <w:tcPr>
                  <w:tcW w:w="1276" w:type="dxa"/>
                </w:tcPr>
                <w:p w14:paraId="3837BC2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M5/114</w:t>
                  </w:r>
                </w:p>
              </w:tc>
              <w:tc>
                <w:tcPr>
                  <w:tcW w:w="3705" w:type="dxa"/>
                </w:tcPr>
                <w:p w14:paraId="4D38D7EA"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eBiosciences</w:t>
                  </w:r>
                  <w:proofErr w:type="spellEnd"/>
                </w:p>
              </w:tc>
            </w:tr>
            <w:tr w:rsidR="00414BEB" w:rsidRPr="00B7786C" w14:paraId="4EC25832" w14:textId="77777777" w:rsidTr="00414BEB">
              <w:tc>
                <w:tcPr>
                  <w:tcW w:w="1420" w:type="dxa"/>
                </w:tcPr>
                <w:p w14:paraId="18CCF198"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CD4</w:t>
                  </w:r>
                </w:p>
              </w:tc>
              <w:tc>
                <w:tcPr>
                  <w:tcW w:w="1417" w:type="dxa"/>
                </w:tcPr>
                <w:p w14:paraId="095D15C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V500/BV510</w:t>
                  </w:r>
                </w:p>
              </w:tc>
              <w:tc>
                <w:tcPr>
                  <w:tcW w:w="1276" w:type="dxa"/>
                </w:tcPr>
                <w:p w14:paraId="53197106"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RM4-5</w:t>
                  </w:r>
                </w:p>
              </w:tc>
              <w:tc>
                <w:tcPr>
                  <w:tcW w:w="3705" w:type="dxa"/>
                </w:tcPr>
                <w:p w14:paraId="1211C514"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6F286D3B" w14:textId="77777777" w:rsidTr="00414BEB">
              <w:tc>
                <w:tcPr>
                  <w:tcW w:w="1420" w:type="dxa"/>
                </w:tcPr>
                <w:p w14:paraId="10BE5E64"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B220</w:t>
                  </w:r>
                </w:p>
              </w:tc>
              <w:tc>
                <w:tcPr>
                  <w:tcW w:w="1417" w:type="dxa"/>
                </w:tcPr>
                <w:p w14:paraId="7237EF34"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V500/BV510</w:t>
                  </w:r>
                </w:p>
              </w:tc>
              <w:tc>
                <w:tcPr>
                  <w:tcW w:w="1276" w:type="dxa"/>
                </w:tcPr>
                <w:p w14:paraId="66E085A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RA3-6B2</w:t>
                  </w:r>
                </w:p>
              </w:tc>
              <w:tc>
                <w:tcPr>
                  <w:tcW w:w="3705" w:type="dxa"/>
                </w:tcPr>
                <w:p w14:paraId="4E74BAA0"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55D7D2B1" w14:textId="77777777" w:rsidTr="00414BEB">
              <w:tc>
                <w:tcPr>
                  <w:tcW w:w="1420" w:type="dxa"/>
                </w:tcPr>
                <w:p w14:paraId="7CF359D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CD19</w:t>
                  </w:r>
                </w:p>
              </w:tc>
              <w:tc>
                <w:tcPr>
                  <w:tcW w:w="1417" w:type="dxa"/>
                </w:tcPr>
                <w:p w14:paraId="1ECB164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APC-Cy7</w:t>
                  </w:r>
                </w:p>
              </w:tc>
              <w:tc>
                <w:tcPr>
                  <w:tcW w:w="1276" w:type="dxa"/>
                </w:tcPr>
                <w:p w14:paraId="7022750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1D3</w:t>
                  </w:r>
                </w:p>
              </w:tc>
              <w:tc>
                <w:tcPr>
                  <w:tcW w:w="3705" w:type="dxa"/>
                </w:tcPr>
                <w:p w14:paraId="74F0D2E7"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2D28B5D5" w14:textId="77777777" w:rsidTr="00414BEB">
              <w:tc>
                <w:tcPr>
                  <w:tcW w:w="1420" w:type="dxa"/>
                </w:tcPr>
                <w:p w14:paraId="53BAA3FF" w14:textId="77777777" w:rsidR="00414BEB" w:rsidRPr="00B7786C" w:rsidRDefault="00414BEB" w:rsidP="00414BEB">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EpCAM</w:t>
                  </w:r>
                  <w:proofErr w:type="spellEnd"/>
                </w:p>
              </w:tc>
              <w:tc>
                <w:tcPr>
                  <w:tcW w:w="1417" w:type="dxa"/>
                </w:tcPr>
                <w:p w14:paraId="3A32435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APC-Cy7</w:t>
                  </w:r>
                </w:p>
              </w:tc>
              <w:tc>
                <w:tcPr>
                  <w:tcW w:w="1276" w:type="dxa"/>
                </w:tcPr>
                <w:p w14:paraId="354ECC1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G8.8</w:t>
                  </w:r>
                </w:p>
              </w:tc>
              <w:tc>
                <w:tcPr>
                  <w:tcW w:w="3705" w:type="dxa"/>
                </w:tcPr>
                <w:p w14:paraId="2AF8FDAE"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576D4945" w14:textId="77777777" w:rsidTr="00414BEB">
              <w:tc>
                <w:tcPr>
                  <w:tcW w:w="1420" w:type="dxa"/>
                </w:tcPr>
                <w:p w14:paraId="0DD47A02"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CD8</w:t>
                  </w:r>
                </w:p>
              </w:tc>
              <w:tc>
                <w:tcPr>
                  <w:tcW w:w="1417" w:type="dxa"/>
                </w:tcPr>
                <w:p w14:paraId="2B595919"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APC-Cy7</w:t>
                  </w:r>
                </w:p>
              </w:tc>
              <w:tc>
                <w:tcPr>
                  <w:tcW w:w="1276" w:type="dxa"/>
                </w:tcPr>
                <w:p w14:paraId="1DBBDAAB"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53-6.7</w:t>
                  </w:r>
                </w:p>
              </w:tc>
              <w:tc>
                <w:tcPr>
                  <w:tcW w:w="3705" w:type="dxa"/>
                </w:tcPr>
                <w:p w14:paraId="4AC089A5"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414BEB" w:rsidRPr="00B7786C" w14:paraId="3009EC87" w14:textId="77777777" w:rsidTr="00414BEB">
              <w:tc>
                <w:tcPr>
                  <w:tcW w:w="1420" w:type="dxa"/>
                </w:tcPr>
                <w:p w14:paraId="16A0BD1A"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CD25</w:t>
                  </w:r>
                </w:p>
              </w:tc>
              <w:tc>
                <w:tcPr>
                  <w:tcW w:w="1417" w:type="dxa"/>
                </w:tcPr>
                <w:p w14:paraId="2F834A8A" w14:textId="16FD08BA" w:rsidR="00414BEB"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w:t>
                  </w:r>
                  <w:r w:rsidR="00414BEB" w:rsidRPr="00B7786C">
                    <w:rPr>
                      <w:rFonts w:ascii="Noto Sans" w:hAnsi="Noto Sans" w:cs="Noto Sans"/>
                      <w:sz w:val="18"/>
                      <w:szCs w:val="18"/>
                    </w:rPr>
                    <w:t>iotin</w:t>
                  </w:r>
                </w:p>
              </w:tc>
              <w:tc>
                <w:tcPr>
                  <w:tcW w:w="1276" w:type="dxa"/>
                </w:tcPr>
                <w:p w14:paraId="5ACF5D88" w14:textId="77777777"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7D4</w:t>
                  </w:r>
                </w:p>
              </w:tc>
              <w:tc>
                <w:tcPr>
                  <w:tcW w:w="3705" w:type="dxa"/>
                </w:tcPr>
                <w:p w14:paraId="60441C98" w14:textId="37D0A366" w:rsidR="00414BEB" w:rsidRPr="00B7786C" w:rsidRDefault="00414BEB"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76CBACEA" w14:textId="77777777" w:rsidTr="00414BEB">
              <w:tc>
                <w:tcPr>
                  <w:tcW w:w="1420" w:type="dxa"/>
                </w:tcPr>
                <w:p w14:paraId="0B5D0C26" w14:textId="76AB25DC"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CD249</w:t>
                  </w:r>
                </w:p>
              </w:tc>
              <w:tc>
                <w:tcPr>
                  <w:tcW w:w="1417" w:type="dxa"/>
                </w:tcPr>
                <w:p w14:paraId="0BA7B97E" w14:textId="06ADA1E8"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Biotin</w:t>
                  </w:r>
                </w:p>
              </w:tc>
              <w:tc>
                <w:tcPr>
                  <w:tcW w:w="1276" w:type="dxa"/>
                </w:tcPr>
                <w:p w14:paraId="3C83C647" w14:textId="19B543A3"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BP-1</w:t>
                  </w:r>
                </w:p>
              </w:tc>
              <w:tc>
                <w:tcPr>
                  <w:tcW w:w="3705" w:type="dxa"/>
                </w:tcPr>
                <w:p w14:paraId="265A71C7" w14:textId="4CE83CDC"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2C3D6DC4" w14:textId="77777777" w:rsidTr="00414BEB">
              <w:tc>
                <w:tcPr>
                  <w:tcW w:w="1420" w:type="dxa"/>
                </w:tcPr>
                <w:p w14:paraId="6AE92E2F" w14:textId="5C6477DB"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IgM</w:t>
                  </w:r>
                </w:p>
              </w:tc>
              <w:tc>
                <w:tcPr>
                  <w:tcW w:w="1417" w:type="dxa"/>
                </w:tcPr>
                <w:p w14:paraId="0E9DAB07" w14:textId="3C9AE60E"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Biotin</w:t>
                  </w:r>
                </w:p>
              </w:tc>
              <w:tc>
                <w:tcPr>
                  <w:tcW w:w="1276" w:type="dxa"/>
                </w:tcPr>
                <w:p w14:paraId="51B6D8E0" w14:textId="02F6F3EC"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AF-78</w:t>
                  </w:r>
                </w:p>
              </w:tc>
              <w:tc>
                <w:tcPr>
                  <w:tcW w:w="3705" w:type="dxa"/>
                </w:tcPr>
                <w:p w14:paraId="6EAADF17" w14:textId="0537F04F" w:rsidR="00F955B0" w:rsidRPr="00B7786C" w:rsidRDefault="00F955B0" w:rsidP="00414BEB">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1B768080" w14:textId="77777777" w:rsidTr="00414BEB">
              <w:tc>
                <w:tcPr>
                  <w:tcW w:w="1420" w:type="dxa"/>
                </w:tcPr>
                <w:p w14:paraId="4C51C6E1" w14:textId="27C53CCF"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CD45</w:t>
                  </w:r>
                </w:p>
              </w:tc>
              <w:tc>
                <w:tcPr>
                  <w:tcW w:w="1417" w:type="dxa"/>
                </w:tcPr>
                <w:p w14:paraId="78478DF6" w14:textId="065CE046"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 xml:space="preserve">Biotin </w:t>
                  </w:r>
                </w:p>
              </w:tc>
              <w:tc>
                <w:tcPr>
                  <w:tcW w:w="1276" w:type="dxa"/>
                </w:tcPr>
                <w:p w14:paraId="6C1E099B" w14:textId="341490AF"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30-F11</w:t>
                  </w:r>
                </w:p>
              </w:tc>
              <w:tc>
                <w:tcPr>
                  <w:tcW w:w="3705" w:type="dxa"/>
                </w:tcPr>
                <w:p w14:paraId="57636715" w14:textId="13FF4658"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7FFD9498" w14:textId="77777777" w:rsidTr="00414BEB">
              <w:tc>
                <w:tcPr>
                  <w:tcW w:w="1420" w:type="dxa"/>
                </w:tcPr>
                <w:p w14:paraId="07C3D3CF"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F4/80</w:t>
                  </w:r>
                </w:p>
              </w:tc>
              <w:tc>
                <w:tcPr>
                  <w:tcW w:w="1417" w:type="dxa"/>
                </w:tcPr>
                <w:p w14:paraId="7EA15ABA"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PE-Cy7</w:t>
                  </w:r>
                </w:p>
              </w:tc>
              <w:tc>
                <w:tcPr>
                  <w:tcW w:w="1276" w:type="dxa"/>
                </w:tcPr>
                <w:p w14:paraId="0F228A0F"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BM8</w:t>
                  </w:r>
                </w:p>
              </w:tc>
              <w:tc>
                <w:tcPr>
                  <w:tcW w:w="3705" w:type="dxa"/>
                </w:tcPr>
                <w:p w14:paraId="3B1717EC" w14:textId="77777777" w:rsidR="00F955B0" w:rsidRPr="00B7786C" w:rsidRDefault="00F955B0" w:rsidP="00F955B0">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eBiosciences</w:t>
                  </w:r>
                  <w:proofErr w:type="spellEnd"/>
                </w:p>
              </w:tc>
            </w:tr>
            <w:tr w:rsidR="00F955B0" w:rsidRPr="00B7786C" w14:paraId="2BBFF9D9" w14:textId="77777777" w:rsidTr="00414BEB">
              <w:tc>
                <w:tcPr>
                  <w:tcW w:w="1420" w:type="dxa"/>
                </w:tcPr>
                <w:p w14:paraId="3E3A7F95"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IL-13</w:t>
                  </w:r>
                </w:p>
              </w:tc>
              <w:tc>
                <w:tcPr>
                  <w:tcW w:w="1417" w:type="dxa"/>
                </w:tcPr>
                <w:p w14:paraId="653D546A"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PE-Cy7</w:t>
                  </w:r>
                </w:p>
              </w:tc>
              <w:tc>
                <w:tcPr>
                  <w:tcW w:w="1276" w:type="dxa"/>
                </w:tcPr>
                <w:p w14:paraId="7CDC45D0"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eBio13A</w:t>
                  </w:r>
                </w:p>
              </w:tc>
              <w:tc>
                <w:tcPr>
                  <w:tcW w:w="3705" w:type="dxa"/>
                </w:tcPr>
                <w:p w14:paraId="296F3E91" w14:textId="77777777" w:rsidR="00F955B0" w:rsidRPr="00B7786C" w:rsidRDefault="00F955B0" w:rsidP="00F955B0">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eBiosciences</w:t>
                  </w:r>
                  <w:proofErr w:type="spellEnd"/>
                </w:p>
              </w:tc>
            </w:tr>
            <w:tr w:rsidR="00F955B0" w:rsidRPr="00B7786C" w14:paraId="1B81E7E5" w14:textId="77777777" w:rsidTr="00414BEB">
              <w:tc>
                <w:tcPr>
                  <w:tcW w:w="1420" w:type="dxa"/>
                </w:tcPr>
                <w:p w14:paraId="7EE0C402"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GATA3</w:t>
                  </w:r>
                </w:p>
              </w:tc>
              <w:tc>
                <w:tcPr>
                  <w:tcW w:w="1417" w:type="dxa"/>
                </w:tcPr>
                <w:p w14:paraId="0FCC7A30"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PE-Cy7</w:t>
                  </w:r>
                </w:p>
              </w:tc>
              <w:tc>
                <w:tcPr>
                  <w:tcW w:w="1276" w:type="dxa"/>
                </w:tcPr>
                <w:p w14:paraId="327847D9"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L50-823</w:t>
                  </w:r>
                </w:p>
              </w:tc>
              <w:tc>
                <w:tcPr>
                  <w:tcW w:w="3705" w:type="dxa"/>
                </w:tcPr>
                <w:p w14:paraId="4B692374"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49958D39" w14:textId="77777777" w:rsidTr="00414BEB">
              <w:tc>
                <w:tcPr>
                  <w:tcW w:w="1420" w:type="dxa"/>
                </w:tcPr>
                <w:p w14:paraId="61A9EBFE" w14:textId="7D723091"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CD127</w:t>
                  </w:r>
                </w:p>
              </w:tc>
              <w:tc>
                <w:tcPr>
                  <w:tcW w:w="1417" w:type="dxa"/>
                </w:tcPr>
                <w:p w14:paraId="4ECF6B21"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PE-Cy7</w:t>
                  </w:r>
                </w:p>
              </w:tc>
              <w:tc>
                <w:tcPr>
                  <w:tcW w:w="1276" w:type="dxa"/>
                </w:tcPr>
                <w:p w14:paraId="064DB47F"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A7R34</w:t>
                  </w:r>
                </w:p>
              </w:tc>
              <w:tc>
                <w:tcPr>
                  <w:tcW w:w="3705" w:type="dxa"/>
                </w:tcPr>
                <w:p w14:paraId="6E122800"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463AE24B" w14:textId="77777777" w:rsidTr="00414BEB">
              <w:tc>
                <w:tcPr>
                  <w:tcW w:w="1420" w:type="dxa"/>
                </w:tcPr>
                <w:p w14:paraId="23FEBA29" w14:textId="07DEF79A"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CXCR5</w:t>
                  </w:r>
                </w:p>
              </w:tc>
              <w:tc>
                <w:tcPr>
                  <w:tcW w:w="1417" w:type="dxa"/>
                </w:tcPr>
                <w:p w14:paraId="7E388BEF" w14:textId="1BBCD3A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PE-Cy7</w:t>
                  </w:r>
                </w:p>
              </w:tc>
              <w:tc>
                <w:tcPr>
                  <w:tcW w:w="1276" w:type="dxa"/>
                </w:tcPr>
                <w:p w14:paraId="5A5D563F" w14:textId="69FB44F8"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L138D7</w:t>
                  </w:r>
                </w:p>
              </w:tc>
              <w:tc>
                <w:tcPr>
                  <w:tcW w:w="3705" w:type="dxa"/>
                </w:tcPr>
                <w:p w14:paraId="49C2837B" w14:textId="24734A2F"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06ECCB62" w14:textId="77777777" w:rsidTr="00414BEB">
              <w:tc>
                <w:tcPr>
                  <w:tcW w:w="1420" w:type="dxa"/>
                </w:tcPr>
                <w:p w14:paraId="09579BE7" w14:textId="77777777" w:rsidR="00F955B0" w:rsidRPr="00B7786C" w:rsidRDefault="00F955B0" w:rsidP="00F955B0">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IgE</w:t>
                  </w:r>
                  <w:proofErr w:type="spellEnd"/>
                </w:p>
              </w:tc>
              <w:tc>
                <w:tcPr>
                  <w:tcW w:w="1417" w:type="dxa"/>
                </w:tcPr>
                <w:p w14:paraId="01049861"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BV786</w:t>
                  </w:r>
                </w:p>
              </w:tc>
              <w:tc>
                <w:tcPr>
                  <w:tcW w:w="1276" w:type="dxa"/>
                </w:tcPr>
                <w:p w14:paraId="28568234"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R35-72</w:t>
                  </w:r>
                </w:p>
              </w:tc>
              <w:tc>
                <w:tcPr>
                  <w:tcW w:w="3705" w:type="dxa"/>
                </w:tcPr>
                <w:p w14:paraId="19CDCAE1"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690622A8" w14:textId="77777777" w:rsidTr="00414BEB">
              <w:tc>
                <w:tcPr>
                  <w:tcW w:w="1420" w:type="dxa"/>
                </w:tcPr>
                <w:p w14:paraId="45431BD2"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IL-33R</w:t>
                  </w:r>
                </w:p>
              </w:tc>
              <w:tc>
                <w:tcPr>
                  <w:tcW w:w="1417" w:type="dxa"/>
                </w:tcPr>
                <w:p w14:paraId="3A8F25BD"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BV786</w:t>
                  </w:r>
                </w:p>
              </w:tc>
              <w:tc>
                <w:tcPr>
                  <w:tcW w:w="1276" w:type="dxa"/>
                </w:tcPr>
                <w:p w14:paraId="20A788BF"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U29-93</w:t>
                  </w:r>
                </w:p>
              </w:tc>
              <w:tc>
                <w:tcPr>
                  <w:tcW w:w="3705" w:type="dxa"/>
                </w:tcPr>
                <w:p w14:paraId="5635CCFE"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BD Biosciences</w:t>
                  </w:r>
                </w:p>
              </w:tc>
            </w:tr>
            <w:tr w:rsidR="00F955B0" w:rsidRPr="00B7786C" w14:paraId="677B19A9" w14:textId="77777777" w:rsidTr="00414BEB">
              <w:tc>
                <w:tcPr>
                  <w:tcW w:w="1420" w:type="dxa"/>
                </w:tcPr>
                <w:p w14:paraId="4E9F2251" w14:textId="424552C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BAIAP2L1</w:t>
                  </w:r>
                </w:p>
              </w:tc>
              <w:tc>
                <w:tcPr>
                  <w:tcW w:w="1417" w:type="dxa"/>
                </w:tcPr>
                <w:p w14:paraId="49F45ADC" w14:textId="77777777" w:rsidR="00F955B0" w:rsidRPr="00B7786C" w:rsidRDefault="00F955B0" w:rsidP="00F955B0">
                  <w:pPr>
                    <w:autoSpaceDE w:val="0"/>
                    <w:autoSpaceDN w:val="0"/>
                    <w:adjustRightInd w:val="0"/>
                    <w:rPr>
                      <w:rFonts w:ascii="Noto Sans" w:hAnsi="Noto Sans" w:cs="Noto Sans"/>
                      <w:sz w:val="18"/>
                      <w:szCs w:val="18"/>
                    </w:rPr>
                  </w:pPr>
                </w:p>
              </w:tc>
              <w:tc>
                <w:tcPr>
                  <w:tcW w:w="1276" w:type="dxa"/>
                </w:tcPr>
                <w:p w14:paraId="3E4E972B" w14:textId="687AC9DA"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PA554000</w:t>
                  </w:r>
                </w:p>
              </w:tc>
              <w:tc>
                <w:tcPr>
                  <w:tcW w:w="3705" w:type="dxa"/>
                </w:tcPr>
                <w:p w14:paraId="680A2004" w14:textId="160A4132"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Abcam</w:t>
                  </w:r>
                </w:p>
              </w:tc>
            </w:tr>
            <w:tr w:rsidR="00F955B0" w:rsidRPr="00B7786C" w14:paraId="40C4BE8D" w14:textId="77777777" w:rsidTr="00414BEB">
              <w:tc>
                <w:tcPr>
                  <w:tcW w:w="1420" w:type="dxa"/>
                </w:tcPr>
                <w:p w14:paraId="25E3C5AA" w14:textId="74934F19"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BAIAP2L1</w:t>
                  </w:r>
                </w:p>
              </w:tc>
              <w:tc>
                <w:tcPr>
                  <w:tcW w:w="1417" w:type="dxa"/>
                </w:tcPr>
                <w:p w14:paraId="2E22C880" w14:textId="77777777" w:rsidR="00F955B0" w:rsidRPr="00B7786C" w:rsidRDefault="00F955B0" w:rsidP="00F955B0">
                  <w:pPr>
                    <w:autoSpaceDE w:val="0"/>
                    <w:autoSpaceDN w:val="0"/>
                    <w:adjustRightInd w:val="0"/>
                    <w:rPr>
                      <w:rFonts w:ascii="Noto Sans" w:hAnsi="Noto Sans" w:cs="Noto Sans"/>
                      <w:sz w:val="18"/>
                      <w:szCs w:val="18"/>
                    </w:rPr>
                  </w:pPr>
                </w:p>
              </w:tc>
              <w:tc>
                <w:tcPr>
                  <w:tcW w:w="1276" w:type="dxa"/>
                </w:tcPr>
                <w:p w14:paraId="0772A3C1" w14:textId="100DCBE3"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25692-1-AP</w:t>
                  </w:r>
                </w:p>
              </w:tc>
              <w:tc>
                <w:tcPr>
                  <w:tcW w:w="3705" w:type="dxa"/>
                </w:tcPr>
                <w:p w14:paraId="5400E101" w14:textId="1D2EA7DB" w:rsidR="00F955B0" w:rsidRPr="00B7786C" w:rsidRDefault="00F955B0" w:rsidP="00F955B0">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Proteintech</w:t>
                  </w:r>
                  <w:proofErr w:type="spellEnd"/>
                </w:p>
              </w:tc>
            </w:tr>
            <w:tr w:rsidR="00F955B0" w:rsidRPr="00B7786C" w14:paraId="49575D14" w14:textId="77777777" w:rsidTr="00414BEB">
              <w:trPr>
                <w:trHeight w:val="71"/>
              </w:trPr>
              <w:tc>
                <w:tcPr>
                  <w:tcW w:w="1420" w:type="dxa"/>
                </w:tcPr>
                <w:p w14:paraId="2B6C86EF"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Yellow stain</w:t>
                  </w:r>
                </w:p>
              </w:tc>
              <w:tc>
                <w:tcPr>
                  <w:tcW w:w="1417" w:type="dxa"/>
                </w:tcPr>
                <w:p w14:paraId="7D815AFC"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Qdot605</w:t>
                  </w:r>
                </w:p>
              </w:tc>
              <w:tc>
                <w:tcPr>
                  <w:tcW w:w="1276" w:type="dxa"/>
                </w:tcPr>
                <w:p w14:paraId="668C5F6B" w14:textId="77777777" w:rsidR="00F955B0" w:rsidRPr="00B7786C" w:rsidRDefault="00F955B0" w:rsidP="00F955B0">
                  <w:pPr>
                    <w:autoSpaceDE w:val="0"/>
                    <w:autoSpaceDN w:val="0"/>
                    <w:adjustRightInd w:val="0"/>
                    <w:rPr>
                      <w:rFonts w:ascii="Noto Sans" w:hAnsi="Noto Sans" w:cs="Noto Sans"/>
                      <w:sz w:val="18"/>
                      <w:szCs w:val="18"/>
                    </w:rPr>
                  </w:pPr>
                  <w:r w:rsidRPr="00B7786C">
                    <w:rPr>
                      <w:rFonts w:ascii="Noto Sans" w:hAnsi="Noto Sans" w:cs="Noto Sans"/>
                      <w:sz w:val="18"/>
                      <w:szCs w:val="18"/>
                    </w:rPr>
                    <w:t>Dead exclusion</w:t>
                  </w:r>
                </w:p>
              </w:tc>
              <w:tc>
                <w:tcPr>
                  <w:tcW w:w="3705" w:type="dxa"/>
                </w:tcPr>
                <w:p w14:paraId="32357F09" w14:textId="77777777" w:rsidR="00F955B0" w:rsidRPr="00B7786C" w:rsidRDefault="00F955B0" w:rsidP="00F955B0">
                  <w:pPr>
                    <w:autoSpaceDE w:val="0"/>
                    <w:autoSpaceDN w:val="0"/>
                    <w:adjustRightInd w:val="0"/>
                    <w:rPr>
                      <w:rFonts w:ascii="Noto Sans" w:hAnsi="Noto Sans" w:cs="Noto Sans"/>
                      <w:sz w:val="18"/>
                      <w:szCs w:val="18"/>
                    </w:rPr>
                  </w:pPr>
                  <w:proofErr w:type="spellStart"/>
                  <w:r w:rsidRPr="00B7786C">
                    <w:rPr>
                      <w:rFonts w:ascii="Noto Sans" w:hAnsi="Noto Sans" w:cs="Noto Sans"/>
                      <w:sz w:val="18"/>
                      <w:szCs w:val="18"/>
                    </w:rPr>
                    <w:t>eBiosciences</w:t>
                  </w:r>
                  <w:proofErr w:type="spellEnd"/>
                </w:p>
              </w:tc>
            </w:tr>
          </w:tbl>
          <w:p w14:paraId="31209F92" w14:textId="77777777" w:rsidR="00F102CC" w:rsidRPr="003D5AF6" w:rsidRDefault="00F102CC">
            <w:pPr>
              <w:rPr>
                <w:rFonts w:ascii="Noto Sans" w:eastAsia="Noto Sans" w:hAnsi="Noto Sans" w:cs="Noto Sans"/>
                <w:bCs/>
                <w:color w:val="434343"/>
                <w:sz w:val="18"/>
                <w:szCs w:val="18"/>
              </w:rPr>
            </w:pPr>
          </w:p>
        </w:tc>
        <w:tc>
          <w:tcPr>
            <w:tcW w:w="658" w:type="dxa"/>
            <w:gridSpan w:val="2"/>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414BEB">
        <w:trPr>
          <w:gridAfter w:val="1"/>
          <w:wAfter w:w="10" w:type="dxa"/>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5811"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48"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414BEB">
        <w:trPr>
          <w:gridAfter w:val="1"/>
          <w:wAfter w:w="10" w:type="dxa"/>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58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414BEB">
        <w:trPr>
          <w:gridAfter w:val="1"/>
          <w:wAfter w:w="10" w:type="dxa"/>
          <w:trHeight w:val="579"/>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9C8364" w:rsidR="00F102CC" w:rsidRPr="003D5AF6" w:rsidRDefault="00414B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414BEB">
        <w:trPr>
          <w:gridAfter w:val="1"/>
          <w:wAfter w:w="10" w:type="dxa"/>
          <w:trHeight w:val="485"/>
        </w:trPr>
        <w:tc>
          <w:tcPr>
            <w:tcW w:w="3251"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5811"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648"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414BEB">
        <w:trPr>
          <w:gridAfter w:val="1"/>
          <w:wAfter w:w="10" w:type="dxa"/>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58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414BEB">
        <w:trPr>
          <w:gridAfter w:val="1"/>
          <w:wAfter w:w="10" w:type="dxa"/>
          <w:trHeight w:val="99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12E1E8D" w:rsidR="00F102CC" w:rsidRPr="003D5AF6" w:rsidRDefault="00414BEB">
            <w:pPr>
              <w:rPr>
                <w:rFonts w:ascii="Noto Sans" w:eastAsia="Noto Sans" w:hAnsi="Noto Sans" w:cs="Noto Sans"/>
                <w:bCs/>
                <w:color w:val="434343"/>
                <w:sz w:val="18"/>
                <w:szCs w:val="18"/>
              </w:rPr>
            </w:pPr>
            <w:r w:rsidRPr="00414BEB">
              <w:rPr>
                <w:rFonts w:ascii="Noto Sans" w:eastAsia="Noto Sans" w:hAnsi="Noto Sans" w:cs="Noto Sans"/>
                <w:bCs/>
                <w:color w:val="434343"/>
                <w:sz w:val="18"/>
                <w:szCs w:val="18"/>
              </w:rPr>
              <w:t xml:space="preserve">A healthy human bronchial smooth muscle cell line (BSMC) was obtained </w:t>
            </w:r>
            <w:proofErr w:type="gramStart"/>
            <w:r w:rsidRPr="00414BEB">
              <w:rPr>
                <w:rFonts w:ascii="Noto Sans" w:eastAsia="Noto Sans" w:hAnsi="Noto Sans" w:cs="Noto Sans"/>
                <w:bCs/>
                <w:color w:val="434343"/>
                <w:sz w:val="18"/>
                <w:szCs w:val="18"/>
              </w:rPr>
              <w:t>from  Lonza</w:t>
            </w:r>
            <w:proofErr w:type="gramEnd"/>
            <w:r w:rsidRPr="00414BEB">
              <w:rPr>
                <w:rFonts w:ascii="Noto Sans" w:eastAsia="Noto Sans" w:hAnsi="Noto Sans" w:cs="Noto Sans"/>
                <w:bCs/>
                <w:color w:val="434343"/>
                <w:sz w:val="18"/>
                <w:szCs w:val="18"/>
              </w:rPr>
              <w:t xml:space="preserve"> (Catalog #: CC-2576)</w:t>
            </w: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414BEB">
        <w:trPr>
          <w:gridAfter w:val="1"/>
          <w:wAfter w:w="10" w:type="dxa"/>
          <w:trHeight w:val="60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598039" w:rsidR="00F102CC" w:rsidRPr="003D5AF6" w:rsidRDefault="001255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rsidTr="00414BEB">
        <w:trPr>
          <w:gridAfter w:val="1"/>
          <w:wAfter w:w="10" w:type="dxa"/>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5811"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48"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414BEB">
        <w:trPr>
          <w:gridAfter w:val="1"/>
          <w:wAfter w:w="10" w:type="dxa"/>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58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414BEB">
        <w:trPr>
          <w:gridAfter w:val="1"/>
          <w:wAfter w:w="10" w:type="dxa"/>
          <w:trHeight w:val="109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C30BCD" w14:textId="77777777" w:rsidR="00311799" w:rsidRDefault="00427975">
            <w:pPr>
              <w:rPr>
                <w:rFonts w:ascii="Noto Sans" w:eastAsia="Noto Sans" w:hAnsi="Noto Sans" w:cs="Noto Sans"/>
                <w:bCs/>
                <w:color w:val="434343"/>
                <w:sz w:val="18"/>
                <w:szCs w:val="18"/>
                <w:lang w:val="en-GB"/>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r w:rsidR="00311799" w:rsidRPr="003D41B9">
              <w:rPr>
                <w:rFonts w:ascii="Noto Sans" w:eastAsia="Noto Sans" w:hAnsi="Noto Sans" w:cs="Noto Sans"/>
                <w:bCs/>
                <w:color w:val="434343"/>
                <w:sz w:val="18"/>
                <w:szCs w:val="18"/>
                <w:lang w:val="en-GB"/>
              </w:rPr>
              <w:t xml:space="preserve"> </w:t>
            </w:r>
          </w:p>
          <w:p w14:paraId="4999B5BB" w14:textId="77777777" w:rsidR="00311799" w:rsidRDefault="00311799">
            <w:pPr>
              <w:rPr>
                <w:rFonts w:ascii="Noto Sans" w:eastAsia="Noto Sans" w:hAnsi="Noto Sans" w:cs="Noto Sans"/>
                <w:bCs/>
                <w:color w:val="434343"/>
                <w:sz w:val="18"/>
                <w:szCs w:val="18"/>
                <w:lang w:val="en-GB"/>
              </w:rPr>
            </w:pPr>
          </w:p>
          <w:p w14:paraId="615F5D47" w14:textId="523D2C8F" w:rsidR="00F102CC" w:rsidRDefault="00F102CC">
            <w:pPr>
              <w:rPr>
                <w:rFonts w:ascii="Noto Sans" w:eastAsia="Noto Sans" w:hAnsi="Noto Sans" w:cs="Noto Sans"/>
                <w:color w:val="434343"/>
                <w:sz w:val="18"/>
                <w:szCs w:val="18"/>
              </w:rPr>
            </w:pP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E35CAB" w:rsidR="00F102CC" w:rsidRPr="003D5AF6" w:rsidRDefault="00414BEB" w:rsidP="001255AB">
            <w:pPr>
              <w:rPr>
                <w:rFonts w:ascii="Noto Sans" w:eastAsia="Noto Sans" w:hAnsi="Noto Sans" w:cs="Noto Sans"/>
                <w:bCs/>
                <w:color w:val="434343"/>
                <w:sz w:val="18"/>
                <w:szCs w:val="18"/>
              </w:rPr>
            </w:pPr>
            <w:r w:rsidRPr="003D41B9">
              <w:rPr>
                <w:rFonts w:ascii="Noto Sans" w:eastAsia="Noto Sans" w:hAnsi="Noto Sans" w:cs="Noto Sans"/>
                <w:bCs/>
                <w:color w:val="434343"/>
                <w:sz w:val="18"/>
                <w:szCs w:val="18"/>
                <w:lang w:val="en-GB"/>
              </w:rPr>
              <w:t xml:space="preserve">IgM-deficient homozygotes mice on </w:t>
            </w:r>
            <w:proofErr w:type="spellStart"/>
            <w:r w:rsidRPr="003D41B9">
              <w:rPr>
                <w:rFonts w:ascii="Noto Sans" w:eastAsia="Noto Sans" w:hAnsi="Noto Sans" w:cs="Noto Sans"/>
                <w:bCs/>
                <w:color w:val="434343"/>
                <w:sz w:val="18"/>
                <w:szCs w:val="18"/>
                <w:lang w:val="en-GB"/>
              </w:rPr>
              <w:t>Balb</w:t>
            </w:r>
            <w:proofErr w:type="spellEnd"/>
            <w:r w:rsidRPr="003D41B9">
              <w:rPr>
                <w:rFonts w:ascii="Noto Sans" w:eastAsia="Noto Sans" w:hAnsi="Noto Sans" w:cs="Noto Sans"/>
                <w:bCs/>
                <w:color w:val="434343"/>
                <w:sz w:val="18"/>
                <w:szCs w:val="18"/>
                <w:lang w:val="en-GB"/>
              </w:rPr>
              <w:t xml:space="preserve">/C background and on C57BL/6 background were originally described in </w:t>
            </w:r>
            <w:sdt>
              <w:sdtPr>
                <w:rPr>
                  <w:rFonts w:ascii="Noto Sans" w:eastAsia="Noto Sans" w:hAnsi="Noto Sans" w:cs="Noto Sans"/>
                  <w:bCs/>
                  <w:color w:val="434343"/>
                  <w:sz w:val="18"/>
                  <w:szCs w:val="18"/>
                  <w:lang w:val="en-GB"/>
                </w:rPr>
                <w:tag w:val="MENDELEY_CITATION_v3_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"/>
                <w:id w:val="1469547348"/>
                <w:placeholder>
                  <w:docPart w:val="418CEC7130EA954D87C6CD82AC09ECE9"/>
                </w:placeholder>
              </w:sdtPr>
              <w:sdtContent>
                <w:r w:rsidRPr="003D41B9">
                  <w:rPr>
                    <w:rFonts w:ascii="Noto Sans" w:eastAsia="Noto Sans" w:hAnsi="Noto Sans" w:cs="Noto Sans"/>
                    <w:bCs/>
                    <w:color w:val="434343"/>
                    <w:sz w:val="18"/>
                    <w:szCs w:val="18"/>
                    <w:lang w:val="en-GB"/>
                  </w:rPr>
                  <w:t>(Lutz et al., 1998)</w:t>
                </w:r>
              </w:sdtContent>
            </w:sdt>
            <w:r w:rsidRPr="003D41B9">
              <w:rPr>
                <w:rFonts w:ascii="Noto Sans" w:eastAsia="Noto Sans" w:hAnsi="Noto Sans" w:cs="Noto Sans"/>
                <w:bCs/>
                <w:color w:val="434343"/>
                <w:sz w:val="18"/>
                <w:szCs w:val="18"/>
                <w:lang w:val="en-GB"/>
              </w:rPr>
              <w:t xml:space="preserve">  and were backcrossed at least 10 generations in house at the University of Cape </w:t>
            </w:r>
            <w:proofErr w:type="gramStart"/>
            <w:r w:rsidRPr="003D41B9">
              <w:rPr>
                <w:rFonts w:ascii="Noto Sans" w:eastAsia="Noto Sans" w:hAnsi="Noto Sans" w:cs="Noto Sans"/>
                <w:bCs/>
                <w:color w:val="434343"/>
                <w:sz w:val="18"/>
                <w:szCs w:val="18"/>
                <w:lang w:val="en-GB"/>
              </w:rPr>
              <w:t>Town(</w:t>
            </w:r>
            <w:proofErr w:type="gramEnd"/>
            <w:r w:rsidRPr="003D41B9">
              <w:rPr>
                <w:rFonts w:ascii="Noto Sans" w:eastAsia="Noto Sans" w:hAnsi="Noto Sans" w:cs="Noto Sans"/>
                <w:bCs/>
                <w:color w:val="434343"/>
                <w:sz w:val="18"/>
                <w:szCs w:val="18"/>
                <w:lang w:val="en-GB"/>
              </w:rPr>
              <w:t xml:space="preserve">Lutz et al., 1998). Wild type on </w:t>
            </w:r>
            <w:proofErr w:type="spellStart"/>
            <w:r w:rsidRPr="003D41B9">
              <w:rPr>
                <w:rFonts w:ascii="Noto Sans" w:eastAsia="Noto Sans" w:hAnsi="Noto Sans" w:cs="Noto Sans"/>
                <w:bCs/>
                <w:color w:val="434343"/>
                <w:sz w:val="18"/>
                <w:szCs w:val="18"/>
                <w:lang w:val="en-GB"/>
              </w:rPr>
              <w:t>Balb</w:t>
            </w:r>
            <w:proofErr w:type="spellEnd"/>
            <w:r w:rsidRPr="003D41B9">
              <w:rPr>
                <w:rFonts w:ascii="Noto Sans" w:eastAsia="Noto Sans" w:hAnsi="Noto Sans" w:cs="Noto Sans"/>
                <w:bCs/>
                <w:color w:val="434343"/>
                <w:sz w:val="18"/>
                <w:szCs w:val="18"/>
                <w:lang w:val="en-GB"/>
              </w:rPr>
              <w:t xml:space="preserve">/C (The Jackson Laboratory, </w:t>
            </w:r>
            <w:proofErr w:type="gramStart"/>
            <w:r w:rsidRPr="003D41B9">
              <w:rPr>
                <w:rFonts w:ascii="Noto Sans" w:eastAsia="Noto Sans" w:hAnsi="Noto Sans" w:cs="Noto Sans"/>
                <w:bCs/>
                <w:color w:val="434343"/>
                <w:sz w:val="18"/>
                <w:szCs w:val="18"/>
                <w:lang w:val="en-GB"/>
              </w:rPr>
              <w:t>RRID:IMSR</w:t>
            </w:r>
            <w:proofErr w:type="gramEnd"/>
            <w:r w:rsidRPr="003D41B9">
              <w:rPr>
                <w:rFonts w:ascii="Noto Sans" w:eastAsia="Noto Sans" w:hAnsi="Noto Sans" w:cs="Noto Sans"/>
                <w:bCs/>
                <w:color w:val="434343"/>
                <w:sz w:val="18"/>
                <w:szCs w:val="18"/>
                <w:lang w:val="en-GB"/>
              </w:rPr>
              <w:t xml:space="preserve">_JAX:000651) and C57BL/6 (The Jackson Laboratory, </w:t>
            </w:r>
            <w:proofErr w:type="gramStart"/>
            <w:r w:rsidRPr="003D41B9">
              <w:rPr>
                <w:rFonts w:ascii="Noto Sans" w:eastAsia="Noto Sans" w:hAnsi="Noto Sans" w:cs="Noto Sans"/>
                <w:bCs/>
                <w:color w:val="434343"/>
                <w:sz w:val="18"/>
                <w:szCs w:val="18"/>
                <w:lang w:val="en-GB"/>
              </w:rPr>
              <w:t>RRID:IMSR</w:t>
            </w:r>
            <w:proofErr w:type="gramEnd"/>
            <w:r w:rsidRPr="003D41B9">
              <w:rPr>
                <w:rFonts w:ascii="Noto Sans" w:eastAsia="Noto Sans" w:hAnsi="Noto Sans" w:cs="Noto Sans"/>
                <w:bCs/>
                <w:color w:val="434343"/>
                <w:sz w:val="18"/>
                <w:szCs w:val="18"/>
                <w:lang w:val="en-GB"/>
              </w:rPr>
              <w:t xml:space="preserve">_JAX:000664) backgrounds were used as a littermate control. Congenic wild type </w:t>
            </w:r>
            <w:proofErr w:type="spellStart"/>
            <w:r w:rsidRPr="003D41B9">
              <w:rPr>
                <w:rFonts w:ascii="Noto Sans" w:eastAsia="Noto Sans" w:hAnsi="Noto Sans" w:cs="Noto Sans"/>
                <w:bCs/>
                <w:color w:val="434343"/>
                <w:sz w:val="18"/>
                <w:szCs w:val="18"/>
                <w:lang w:val="en-GB"/>
              </w:rPr>
              <w:t>Balb</w:t>
            </w:r>
            <w:proofErr w:type="spellEnd"/>
            <w:r w:rsidRPr="003D41B9">
              <w:rPr>
                <w:rFonts w:ascii="Noto Sans" w:eastAsia="Noto Sans" w:hAnsi="Noto Sans" w:cs="Noto Sans"/>
                <w:bCs/>
                <w:color w:val="434343"/>
                <w:sz w:val="18"/>
                <w:szCs w:val="18"/>
                <w:lang w:val="en-GB"/>
              </w:rPr>
              <w:t>/C mice (</w:t>
            </w:r>
            <w:proofErr w:type="spellStart"/>
            <w:r w:rsidRPr="003D41B9">
              <w:rPr>
                <w:rFonts w:ascii="Noto Sans" w:eastAsia="Noto Sans" w:hAnsi="Noto Sans" w:cs="Noto Sans"/>
                <w:bCs/>
                <w:color w:val="434343"/>
                <w:sz w:val="18"/>
                <w:szCs w:val="18"/>
                <w:lang w:val="en-GB"/>
              </w:rPr>
              <w:t>CByJ.SJL</w:t>
            </w:r>
            <w:proofErr w:type="spellEnd"/>
            <w:r w:rsidRPr="003D41B9">
              <w:rPr>
                <w:rFonts w:ascii="Noto Sans" w:eastAsia="Noto Sans" w:hAnsi="Noto Sans" w:cs="Noto Sans"/>
                <w:bCs/>
                <w:color w:val="434343"/>
                <w:sz w:val="18"/>
                <w:szCs w:val="18"/>
                <w:lang w:val="en-GB"/>
              </w:rPr>
              <w:t>(B6)-</w:t>
            </w:r>
            <w:proofErr w:type="spellStart"/>
            <w:r w:rsidRPr="003D41B9">
              <w:rPr>
                <w:rFonts w:ascii="Noto Sans" w:eastAsia="Noto Sans" w:hAnsi="Noto Sans" w:cs="Noto Sans"/>
                <w:bCs/>
                <w:color w:val="434343"/>
                <w:sz w:val="18"/>
                <w:szCs w:val="18"/>
                <w:lang w:val="en-GB"/>
              </w:rPr>
              <w:t>Ptprca</w:t>
            </w:r>
            <w:proofErr w:type="spellEnd"/>
            <w:r w:rsidRPr="003D41B9">
              <w:rPr>
                <w:rFonts w:ascii="Noto Sans" w:eastAsia="Noto Sans" w:hAnsi="Noto Sans" w:cs="Noto Sans"/>
                <w:bCs/>
                <w:color w:val="434343"/>
                <w:sz w:val="18"/>
                <w:szCs w:val="18"/>
                <w:lang w:val="en-GB"/>
              </w:rPr>
              <w:t xml:space="preserve">/J, </w:t>
            </w:r>
            <w:proofErr w:type="gramStart"/>
            <w:r w:rsidRPr="003D41B9">
              <w:rPr>
                <w:rFonts w:ascii="Noto Sans" w:eastAsia="Noto Sans" w:hAnsi="Noto Sans" w:cs="Noto Sans"/>
                <w:bCs/>
                <w:color w:val="434343"/>
                <w:sz w:val="18"/>
                <w:szCs w:val="18"/>
                <w:lang w:val="en-GB"/>
              </w:rPr>
              <w:t>RRID:IMSR</w:t>
            </w:r>
            <w:proofErr w:type="gramEnd"/>
            <w:r w:rsidRPr="003D41B9">
              <w:rPr>
                <w:rFonts w:ascii="Noto Sans" w:eastAsia="Noto Sans" w:hAnsi="Noto Sans" w:cs="Noto Sans"/>
                <w:bCs/>
                <w:color w:val="434343"/>
                <w:sz w:val="18"/>
                <w:szCs w:val="18"/>
                <w:lang w:val="en-GB"/>
              </w:rPr>
              <w:t>_JAX:006584) were backcrossed to at least 10 generations at the University of Cape Town. B cell-deficient mice (</w:t>
            </w:r>
            <w:proofErr w:type="spellStart"/>
            <w:r w:rsidRPr="003D41B9">
              <w:rPr>
                <w:rFonts w:ascii="Noto Sans" w:eastAsia="Noto Sans" w:hAnsi="Noto Sans" w:cs="Noto Sans"/>
                <w:bCs/>
                <w:color w:val="434343"/>
                <w:sz w:val="18"/>
                <w:szCs w:val="18"/>
                <w:lang w:val="en-GB"/>
              </w:rPr>
              <w:t>muMt</w:t>
            </w:r>
            <w:proofErr w:type="spellEnd"/>
            <w:r w:rsidRPr="003D41B9">
              <w:rPr>
                <w:rFonts w:ascii="Noto Sans" w:eastAsia="Noto Sans" w:hAnsi="Noto Sans" w:cs="Noto Sans"/>
                <w:bCs/>
                <w:color w:val="434343"/>
                <w:sz w:val="18"/>
                <w:szCs w:val="18"/>
                <w:lang w:val="en-GB"/>
              </w:rPr>
              <w:t xml:space="preserve"> B6.129S2-Ighmtm1Cgn/J, </w:t>
            </w:r>
            <w:proofErr w:type="gramStart"/>
            <w:r w:rsidRPr="003D41B9">
              <w:rPr>
                <w:rFonts w:ascii="Noto Sans" w:eastAsia="Noto Sans" w:hAnsi="Noto Sans" w:cs="Noto Sans"/>
                <w:bCs/>
                <w:color w:val="434343"/>
                <w:sz w:val="18"/>
                <w:szCs w:val="18"/>
                <w:lang w:val="en-GB"/>
              </w:rPr>
              <w:t>RRID:IMSR</w:t>
            </w:r>
            <w:proofErr w:type="gramEnd"/>
            <w:r w:rsidRPr="003D41B9">
              <w:rPr>
                <w:rFonts w:ascii="Noto Sans" w:eastAsia="Noto Sans" w:hAnsi="Noto Sans" w:cs="Noto Sans"/>
                <w:bCs/>
                <w:color w:val="434343"/>
                <w:sz w:val="18"/>
                <w:szCs w:val="18"/>
                <w:lang w:val="en-GB"/>
              </w:rPr>
              <w:t xml:space="preserve">_JAX:002288) was originally described in </w:t>
            </w:r>
            <w:sdt>
              <w:sdtPr>
                <w:rPr>
                  <w:rFonts w:ascii="Noto Sans" w:eastAsia="Noto Sans" w:hAnsi="Noto Sans" w:cs="Noto Sans"/>
                  <w:bCs/>
                  <w:color w:val="434343"/>
                  <w:sz w:val="18"/>
                  <w:szCs w:val="18"/>
                  <w:lang w:val="en-GB"/>
                </w:rPr>
                <w:tag w:val="MENDELEY_CITATION_v3_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"/>
                <w:id w:val="1958212987"/>
                <w:placeholder>
                  <w:docPart w:val="132A1AD5BBC5924CBE9C9628F6C27BD8"/>
                </w:placeholder>
              </w:sdtPr>
              <w:sdtContent>
                <w:r w:rsidRPr="003D41B9">
                  <w:rPr>
                    <w:rFonts w:ascii="Noto Sans" w:eastAsia="Noto Sans" w:hAnsi="Noto Sans" w:cs="Noto Sans"/>
                    <w:bCs/>
                    <w:color w:val="434343"/>
                    <w:sz w:val="18"/>
                    <w:szCs w:val="18"/>
                    <w:lang w:val="en-GB"/>
                  </w:rPr>
                  <w:t>(Kitamura et al., 1991)</w:t>
                </w:r>
              </w:sdtContent>
            </w:sdt>
            <w:r w:rsidRPr="003D41B9">
              <w:rPr>
                <w:rFonts w:ascii="Noto Sans" w:eastAsia="Noto Sans" w:hAnsi="Noto Sans" w:cs="Noto Sans"/>
                <w:bCs/>
                <w:color w:val="434343"/>
                <w:sz w:val="18"/>
                <w:szCs w:val="18"/>
                <w:lang w:val="en-GB"/>
              </w:rPr>
              <w:t xml:space="preserve"> and was backcrossed at least 10 generations to a </w:t>
            </w:r>
            <w:proofErr w:type="spellStart"/>
            <w:r w:rsidRPr="003D41B9">
              <w:rPr>
                <w:rFonts w:ascii="Noto Sans" w:eastAsia="Noto Sans" w:hAnsi="Noto Sans" w:cs="Noto Sans"/>
                <w:bCs/>
                <w:color w:val="434343"/>
                <w:sz w:val="18"/>
                <w:szCs w:val="18"/>
                <w:lang w:val="en-GB"/>
              </w:rPr>
              <w:t>Balb</w:t>
            </w:r>
            <w:proofErr w:type="spellEnd"/>
            <w:r w:rsidRPr="003D41B9">
              <w:rPr>
                <w:rFonts w:ascii="Noto Sans" w:eastAsia="Noto Sans" w:hAnsi="Noto Sans" w:cs="Noto Sans"/>
                <w:bCs/>
                <w:color w:val="434343"/>
                <w:sz w:val="18"/>
                <w:szCs w:val="18"/>
                <w:lang w:val="en-GB"/>
              </w:rPr>
              <w:t xml:space="preserve">/C background at the University of Cape Town. Mice were housed in independently ventilated cages under specific pathogen-free conditions at the University of Cape Town Animal Facility. All mice were used at eight to 10 weeks of age and </w:t>
            </w:r>
            <w:r>
              <w:rPr>
                <w:rFonts w:ascii="Noto Sans" w:eastAsia="Noto Sans" w:hAnsi="Noto Sans" w:cs="Noto Sans"/>
                <w:bCs/>
                <w:color w:val="434343"/>
                <w:sz w:val="18"/>
                <w:szCs w:val="18"/>
                <w:lang w:val="en-GB"/>
              </w:rPr>
              <w:t>only female mice were used.</w:t>
            </w: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414BEB">
        <w:trPr>
          <w:gridAfter w:val="1"/>
          <w:wAfter w:w="10" w:type="dxa"/>
          <w:trHeight w:val="668"/>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rsidTr="00414BEB">
        <w:trPr>
          <w:gridAfter w:val="1"/>
          <w:wAfter w:w="10" w:type="dxa"/>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5811"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48"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414BEB">
        <w:trPr>
          <w:gridAfter w:val="1"/>
          <w:wAfter w:w="10" w:type="dxa"/>
          <w:trHeight w:val="42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58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414BEB">
        <w:trPr>
          <w:gridAfter w:val="1"/>
          <w:wAfter w:w="10" w:type="dxa"/>
          <w:trHeight w:val="728"/>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20A1DA" w:rsidR="00F102CC" w:rsidRPr="003D5AF6" w:rsidRDefault="00414B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414BEB">
        <w:trPr>
          <w:gridAfter w:val="1"/>
          <w:wAfter w:w="10" w:type="dxa"/>
          <w:trHeight w:val="574"/>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6583F4" w:rsidR="00F102CC" w:rsidRPr="003D5AF6" w:rsidRDefault="00414B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414BEB">
        <w:trPr>
          <w:gridAfter w:val="1"/>
          <w:wAfter w:w="10" w:type="dxa"/>
          <w:trHeight w:val="425"/>
        </w:trPr>
        <w:tc>
          <w:tcPr>
            <w:tcW w:w="3251"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5811"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48"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414BEB">
        <w:trPr>
          <w:gridAfter w:val="1"/>
          <w:wAfter w:w="10" w:type="dxa"/>
          <w:trHeight w:val="635"/>
        </w:trPr>
        <w:tc>
          <w:tcPr>
            <w:tcW w:w="3251"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58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64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414BEB">
        <w:trPr>
          <w:gridAfter w:val="1"/>
          <w:wAfter w:w="10" w:type="dxa"/>
          <w:trHeight w:val="471"/>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648"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E8CD80" w:rsidR="00F102CC" w:rsidRDefault="00414BE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49243374" w14:textId="77777777" w:rsidR="00414BEB" w:rsidRDefault="00414BEB">
      <w:pPr>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br w:type="page"/>
      </w:r>
    </w:p>
    <w:p w14:paraId="60E7D3C1" w14:textId="43204C84" w:rsidR="00F102CC" w:rsidRDefault="00427975">
      <w:pPr>
        <w:spacing w:before="8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FA79CD" w:rsidR="00F102CC" w:rsidRPr="003D5AF6" w:rsidRDefault="003D4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9B3586" w:rsidR="00F102CC" w:rsidRPr="003D5AF6" w:rsidRDefault="003D4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AF31E3C" w:rsidR="00F102CC" w:rsidRPr="003D5AF6" w:rsidRDefault="00661BCD">
            <w:pPr>
              <w:spacing w:line="225" w:lineRule="auto"/>
              <w:rPr>
                <w:rFonts w:ascii="Noto Sans" w:eastAsia="Noto Sans" w:hAnsi="Noto Sans" w:cs="Noto Sans"/>
                <w:bCs/>
                <w:color w:val="434343"/>
                <w:sz w:val="18"/>
                <w:szCs w:val="18"/>
              </w:rPr>
            </w:pPr>
            <w:r w:rsidRPr="00661BCD">
              <w:rPr>
                <w:rFonts w:ascii="Noto Sans" w:eastAsia="Noto Sans" w:hAnsi="Noto Sans" w:cs="Noto Sans"/>
                <w:bCs/>
                <w:color w:val="434343"/>
                <w:sz w:val="18"/>
                <w:szCs w:val="18"/>
                <w:lang w:val="en-GB"/>
              </w:rPr>
              <w:t>Six mice per group were projected for this study. The sample size required for this study was determined using estimates from previously approved studies. This estimate is based on the following assumptions:  a comparison of the experimental and control groups; a statistical power of 80% (β=0.2) for detecting the difference between the groups and 2-sided α=0.05 level of statistical significance of type I error using a t test (paired and unpaired); 1:1 randomisation; a standard deviation of 0.25 in the mean between experimental and control groups is expected and the difference of 1.33 based on previous studies. Note that this absolute difference of 1.33 is the minimum difference that is deemed to be of animal welfare.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F04D1FE" w:rsidR="00F102CC" w:rsidRPr="003D5AF6" w:rsidRDefault="00661BCD">
            <w:pPr>
              <w:spacing w:line="225" w:lineRule="auto"/>
              <w:rPr>
                <w:rFonts w:ascii="Noto Sans" w:eastAsia="Noto Sans" w:hAnsi="Noto Sans" w:cs="Noto Sans"/>
                <w:bCs/>
                <w:color w:val="434343"/>
                <w:sz w:val="18"/>
                <w:szCs w:val="18"/>
              </w:rPr>
            </w:pPr>
            <w:r w:rsidRPr="00661BCD">
              <w:rPr>
                <w:rFonts w:ascii="Noto Sans" w:eastAsia="Noto Sans" w:hAnsi="Noto Sans" w:cs="Noto Sans"/>
                <w:bCs/>
                <w:color w:val="434343"/>
                <w:sz w:val="18"/>
                <w:szCs w:val="18"/>
                <w:lang w:val="en-GB"/>
              </w:rPr>
              <w:t>We adopt</w:t>
            </w:r>
            <w:r>
              <w:rPr>
                <w:rFonts w:ascii="Noto Sans" w:eastAsia="Noto Sans" w:hAnsi="Noto Sans" w:cs="Noto Sans"/>
                <w:bCs/>
                <w:color w:val="434343"/>
                <w:sz w:val="18"/>
                <w:szCs w:val="18"/>
                <w:lang w:val="en-GB"/>
              </w:rPr>
              <w:t>ed</w:t>
            </w:r>
            <w:r w:rsidRPr="00661BCD">
              <w:rPr>
                <w:rFonts w:ascii="Noto Sans" w:eastAsia="Noto Sans" w:hAnsi="Noto Sans" w:cs="Noto Sans"/>
                <w:bCs/>
                <w:color w:val="434343"/>
                <w:sz w:val="18"/>
                <w:szCs w:val="18"/>
                <w:lang w:val="en-GB"/>
              </w:rPr>
              <w:t xml:space="preserve"> arrive guidelines for randomisation strategy. We use</w:t>
            </w:r>
            <w:r>
              <w:rPr>
                <w:rFonts w:ascii="Noto Sans" w:eastAsia="Noto Sans" w:hAnsi="Noto Sans" w:cs="Noto Sans"/>
                <w:bCs/>
                <w:color w:val="434343"/>
                <w:sz w:val="18"/>
                <w:szCs w:val="18"/>
                <w:lang w:val="en-GB"/>
              </w:rPr>
              <w:t>d</w:t>
            </w:r>
            <w:r w:rsidRPr="00661BCD">
              <w:rPr>
                <w:rFonts w:ascii="Noto Sans" w:eastAsia="Noto Sans" w:hAnsi="Noto Sans" w:cs="Noto Sans"/>
                <w:bCs/>
                <w:color w:val="434343"/>
                <w:sz w:val="18"/>
                <w:szCs w:val="18"/>
                <w:lang w:val="en-GB"/>
              </w:rPr>
              <w:t xml:space="preserve"> stratified Randomisation to minimise bias. Stratified randomisation relies on traits of the animal to be likely associated with the response. Random allocation of mice to experimental group (wildtype versus knockout) </w:t>
            </w:r>
            <w:r w:rsidRPr="00661BCD">
              <w:rPr>
                <w:rFonts w:ascii="Noto Sans" w:eastAsia="Noto Sans" w:hAnsi="Noto Sans" w:cs="Noto Sans"/>
                <w:bCs/>
                <w:color w:val="434343"/>
                <w:sz w:val="18"/>
                <w:szCs w:val="18"/>
                <w:lang w:val="en-GB"/>
              </w:rPr>
              <w:lastRenderedPageBreak/>
              <w:t>is driven by Mendelian Inheritance.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B5A07FB" w:rsidR="00F102CC" w:rsidRPr="003D5AF6" w:rsidRDefault="00661BCD">
            <w:pPr>
              <w:spacing w:line="225" w:lineRule="auto"/>
              <w:rPr>
                <w:rFonts w:ascii="Noto Sans" w:eastAsia="Noto Sans" w:hAnsi="Noto Sans" w:cs="Noto Sans"/>
                <w:bCs/>
                <w:color w:val="434343"/>
                <w:sz w:val="18"/>
                <w:szCs w:val="18"/>
              </w:rPr>
            </w:pPr>
            <w:r w:rsidRPr="00661BCD">
              <w:rPr>
                <w:rFonts w:ascii="Noto Sans" w:eastAsia="Noto Sans" w:hAnsi="Noto Sans" w:cs="Noto Sans"/>
                <w:bCs/>
                <w:color w:val="434343"/>
                <w:sz w:val="18"/>
                <w:szCs w:val="18"/>
                <w:lang w:val="en-GB"/>
              </w:rPr>
              <w:t>We adopt</w:t>
            </w:r>
            <w:r>
              <w:rPr>
                <w:rFonts w:ascii="Noto Sans" w:eastAsia="Noto Sans" w:hAnsi="Noto Sans" w:cs="Noto Sans"/>
                <w:bCs/>
                <w:color w:val="434343"/>
                <w:sz w:val="18"/>
                <w:szCs w:val="18"/>
                <w:lang w:val="en-GB"/>
              </w:rPr>
              <w:t>ed</w:t>
            </w:r>
            <w:r w:rsidRPr="00661BCD">
              <w:rPr>
                <w:rFonts w:ascii="Noto Sans" w:eastAsia="Noto Sans" w:hAnsi="Noto Sans" w:cs="Noto Sans"/>
                <w:bCs/>
                <w:color w:val="434343"/>
                <w:sz w:val="18"/>
                <w:szCs w:val="18"/>
                <w:lang w:val="en-GB"/>
              </w:rPr>
              <w:t xml:space="preserve"> arrive guidelines for blinding strategy</w:t>
            </w:r>
            <w:r w:rsidRPr="00661BCD" w:rsidDel="008F13A7">
              <w:rPr>
                <w:rFonts w:ascii="Noto Sans" w:eastAsia="Noto Sans" w:hAnsi="Noto Sans" w:cs="Noto Sans"/>
                <w:bCs/>
                <w:color w:val="434343"/>
                <w:sz w:val="18"/>
                <w:szCs w:val="18"/>
                <w:lang w:val="en-GB"/>
              </w:rPr>
              <w:t xml:space="preserve"> </w:t>
            </w:r>
            <w:r w:rsidRPr="00661BCD">
              <w:rPr>
                <w:rFonts w:ascii="Noto Sans" w:eastAsia="Noto Sans" w:hAnsi="Noto Sans" w:cs="Noto Sans"/>
                <w:bCs/>
                <w:color w:val="434343"/>
                <w:sz w:val="18"/>
                <w:szCs w:val="18"/>
                <w:lang w:val="en-GB"/>
              </w:rPr>
              <w:t xml:space="preserve">where the researcher responsible for the experiment </w:t>
            </w:r>
            <w:r>
              <w:rPr>
                <w:rFonts w:ascii="Noto Sans" w:eastAsia="Noto Sans" w:hAnsi="Noto Sans" w:cs="Noto Sans"/>
                <w:bCs/>
                <w:color w:val="434343"/>
                <w:sz w:val="18"/>
                <w:szCs w:val="18"/>
                <w:lang w:val="en-GB"/>
              </w:rPr>
              <w:t>was not</w:t>
            </w:r>
            <w:r w:rsidRPr="00661BCD">
              <w:rPr>
                <w:rFonts w:ascii="Noto Sans" w:eastAsia="Noto Sans" w:hAnsi="Noto Sans" w:cs="Noto Sans"/>
                <w:bCs/>
                <w:color w:val="434343"/>
                <w:sz w:val="18"/>
                <w:szCs w:val="18"/>
                <w:lang w:val="en-GB"/>
              </w:rPr>
              <w:t xml:space="preserve"> involved in the allocation of animals to help conceal and minimise selection bias.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FD64764" w:rsidR="00F102CC" w:rsidRPr="003D5AF6" w:rsidRDefault="00661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4CD3DB6" w:rsidR="00F102CC" w:rsidRPr="003D5AF6" w:rsidRDefault="00661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Figure legends state how many replicates and how </w:t>
            </w:r>
            <w:r w:rsidR="00BD3E6A">
              <w:rPr>
                <w:rFonts w:ascii="Noto Sans" w:eastAsia="Noto Sans" w:hAnsi="Noto Sans" w:cs="Noto Sans"/>
                <w:bCs/>
                <w:color w:val="434343"/>
                <w:sz w:val="18"/>
                <w:szCs w:val="18"/>
              </w:rPr>
              <w:t>many technical replicates are include in each figure.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4C02DA1" w:rsidR="00F102CC" w:rsidRPr="003D5AF6" w:rsidRDefault="00BD3E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CC0BB6F" w14:textId="3B81C854" w:rsidR="003D41B9" w:rsidRPr="003D41B9" w:rsidRDefault="003D41B9" w:rsidP="003D41B9">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All </w:t>
            </w:r>
            <w:r w:rsidRPr="003D41B9">
              <w:rPr>
                <w:rFonts w:ascii="Noto Sans" w:eastAsia="Noto Sans" w:hAnsi="Noto Sans" w:cs="Noto Sans"/>
                <w:bCs/>
                <w:color w:val="434343"/>
                <w:sz w:val="18"/>
                <w:szCs w:val="18"/>
                <w:lang w:val="en-GB"/>
              </w:rPr>
              <w:t>animal procedures were performed according to the strict recommendation by the South African Veterinary Council and were approved by the University of Cape Town Animal Ethics Committee (Reference number 014/019, 018/013 and 022/014).</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33191B0" w:rsidR="00F102CC" w:rsidRPr="003D5AF6" w:rsidRDefault="003D4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6B6DA1E" w:rsidR="00F102CC" w:rsidRPr="003D5AF6" w:rsidRDefault="00414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F7B61DC" w:rsidR="00F102CC" w:rsidRPr="003D5AF6" w:rsidRDefault="003D4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62C0884" w:rsidR="00F102CC" w:rsidRPr="003D5AF6" w:rsidRDefault="003D41B9">
            <w:pPr>
              <w:spacing w:line="225" w:lineRule="auto"/>
              <w:rPr>
                <w:rFonts w:ascii="Noto Sans" w:eastAsia="Noto Sans" w:hAnsi="Noto Sans" w:cs="Noto Sans"/>
                <w:bCs/>
                <w:color w:val="434343"/>
                <w:sz w:val="18"/>
                <w:szCs w:val="18"/>
              </w:rPr>
            </w:pPr>
            <w:r w:rsidRPr="003D41B9">
              <w:rPr>
                <w:rFonts w:ascii="Noto Sans" w:eastAsia="Noto Sans" w:hAnsi="Noto Sans" w:cs="Noto Sans"/>
                <w:bCs/>
                <w:color w:val="434343"/>
                <w:sz w:val="18"/>
                <w:szCs w:val="18"/>
              </w:rPr>
              <w:t>P-values were calculated in GraphPad Prism 6 (GraphPad Software, Inc) by using nonparametric Mann-Whitney Student's t-test or Two-way ANOVA with Bonferroni's post-test for multiple comparisons, and results are presented as standard error of the mean (SEM) or mean of standard deviation (SD). Differences were considered significant if P was &lt;0.05.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CB4D297" w14:textId="46741B60" w:rsidR="003D41B9" w:rsidRPr="003D41B9" w:rsidRDefault="003D41B9" w:rsidP="003D41B9">
            <w:pPr>
              <w:spacing w:line="225" w:lineRule="auto"/>
              <w:rPr>
                <w:rFonts w:ascii="Noto Sans" w:eastAsia="Noto Sans" w:hAnsi="Noto Sans" w:cs="Noto Sans"/>
                <w:b/>
                <w:bCs/>
                <w:color w:val="434343"/>
                <w:sz w:val="18"/>
                <w:szCs w:val="18"/>
                <w:lang w:val="en-GB"/>
              </w:rPr>
            </w:pPr>
            <w:r w:rsidRPr="003D41B9">
              <w:rPr>
                <w:rFonts w:ascii="Noto Sans" w:eastAsia="Noto Sans" w:hAnsi="Noto Sans" w:cs="Noto Sans"/>
                <w:bCs/>
                <w:color w:val="434343"/>
                <w:sz w:val="18"/>
                <w:szCs w:val="18"/>
                <w:lang w:val="en-GB"/>
              </w:rPr>
              <w:t>The data related to this paper</w:t>
            </w:r>
            <w:r>
              <w:rPr>
                <w:rFonts w:ascii="Noto Sans" w:eastAsia="Noto Sans" w:hAnsi="Noto Sans" w:cs="Noto Sans"/>
                <w:bCs/>
                <w:color w:val="434343"/>
                <w:sz w:val="18"/>
                <w:szCs w:val="18"/>
                <w:lang w:val="en-GB"/>
              </w:rPr>
              <w:t xml:space="preserve"> (Figure 4)</w:t>
            </w:r>
            <w:r w:rsidRPr="003D41B9">
              <w:rPr>
                <w:rFonts w:ascii="Noto Sans" w:eastAsia="Noto Sans" w:hAnsi="Noto Sans" w:cs="Noto Sans"/>
                <w:bCs/>
                <w:color w:val="434343"/>
                <w:sz w:val="18"/>
                <w:szCs w:val="18"/>
                <w:lang w:val="en-GB"/>
              </w:rPr>
              <w:t xml:space="preserve"> can be found at NCBI Sequence Read Archive (SRA) number </w:t>
            </w:r>
            <w:hyperlink r:id="rId15" w:history="1">
              <w:r w:rsidRPr="003D41B9">
                <w:rPr>
                  <w:rStyle w:val="Hyperlink"/>
                  <w:rFonts w:ascii="Noto Sans" w:eastAsia="Noto Sans" w:hAnsi="Noto Sans" w:cs="Noto Sans"/>
                  <w:bCs/>
                  <w:sz w:val="18"/>
                  <w:szCs w:val="18"/>
                  <w:lang w:val="en-GB"/>
                </w:rPr>
                <w:t>PRJNA1288527</w:t>
              </w:r>
            </w:hyperlink>
            <w:r w:rsidRPr="003D41B9">
              <w:rPr>
                <w:rFonts w:ascii="Noto Sans" w:eastAsia="Noto Sans" w:hAnsi="Noto Sans" w:cs="Noto Sans"/>
                <w:bCs/>
                <w:color w:val="434343"/>
                <w:sz w:val="18"/>
                <w:szCs w:val="18"/>
                <w:lang w:val="en-GB"/>
              </w:rPr>
              <w:t xml:space="preserve">, </w:t>
            </w:r>
            <w:r>
              <w:rPr>
                <w:rFonts w:ascii="Noto Sans" w:eastAsia="Noto Sans" w:hAnsi="Noto Sans" w:cs="Noto Sans"/>
                <w:bCs/>
                <w:color w:val="434343"/>
                <w:sz w:val="18"/>
                <w:szCs w:val="18"/>
                <w:lang w:val="en-GB"/>
              </w:rPr>
              <w:t xml:space="preserve">restricted access until 30 Sept 2026. </w:t>
            </w:r>
            <w:r w:rsidRPr="003D41B9">
              <w:rPr>
                <w:rFonts w:ascii="Noto Sans" w:eastAsia="Noto Sans" w:hAnsi="Noto Sans" w:cs="Noto Sans"/>
                <w:bCs/>
                <w:color w:val="434343"/>
                <w:sz w:val="18"/>
                <w:szCs w:val="18"/>
                <w:lang w:val="en-GB"/>
              </w:rPr>
              <w:t xml:space="preserve">Single cell force cytometry data </w:t>
            </w:r>
            <w:r>
              <w:rPr>
                <w:rFonts w:ascii="Noto Sans" w:eastAsia="Noto Sans" w:hAnsi="Noto Sans" w:cs="Noto Sans"/>
                <w:bCs/>
                <w:color w:val="434343"/>
                <w:sz w:val="18"/>
                <w:szCs w:val="18"/>
                <w:lang w:val="en-GB"/>
              </w:rPr>
              <w:t xml:space="preserve">(Figure 6 and 7) </w:t>
            </w:r>
            <w:r w:rsidRPr="003D41B9">
              <w:rPr>
                <w:rFonts w:ascii="Noto Sans" w:eastAsia="Noto Sans" w:hAnsi="Noto Sans" w:cs="Noto Sans"/>
                <w:bCs/>
                <w:color w:val="434343"/>
                <w:sz w:val="18"/>
                <w:szCs w:val="18"/>
                <w:lang w:val="en-GB"/>
              </w:rPr>
              <w:t xml:space="preserve">can be found at </w:t>
            </w:r>
            <w:proofErr w:type="spellStart"/>
            <w:r w:rsidRPr="003D41B9">
              <w:rPr>
                <w:rFonts w:ascii="Noto Sans" w:eastAsia="Noto Sans" w:hAnsi="Noto Sans" w:cs="Noto Sans"/>
                <w:bCs/>
                <w:color w:val="434343"/>
                <w:sz w:val="18"/>
                <w:szCs w:val="18"/>
                <w:lang w:val="en-GB"/>
              </w:rPr>
              <w:t>Figshare</w:t>
            </w:r>
            <w:proofErr w:type="spellEnd"/>
            <w:r w:rsidRPr="003D41B9">
              <w:rPr>
                <w:rFonts w:ascii="Noto Sans" w:eastAsia="Noto Sans" w:hAnsi="Noto Sans" w:cs="Noto Sans"/>
                <w:bCs/>
                <w:color w:val="434343"/>
                <w:sz w:val="18"/>
                <w:szCs w:val="18"/>
                <w:lang w:val="en-GB"/>
              </w:rPr>
              <w:t xml:space="preserve"> under DOI 10.6084/m9.figshare.29832320; 10.6084/m9.figshare.29614157; 10.6084/m9.figshare.29832263. </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18AB091" w:rsidR="00F102CC" w:rsidRPr="003D5AF6" w:rsidRDefault="00414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686D0A" w:rsidR="00F102CC" w:rsidRPr="003D5AF6" w:rsidRDefault="00414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1BA5CEE" w:rsidR="00F102CC" w:rsidRPr="003D5AF6" w:rsidRDefault="003D4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CB64923" w:rsidR="00F102CC" w:rsidRPr="003D5AF6" w:rsidRDefault="003D4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27CC7B6" w:rsidR="00F102CC" w:rsidRPr="003D5AF6" w:rsidRDefault="003D41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ARRIVE guidelines for animal research. </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3B72">
      <w:pPr>
        <w:spacing w:before="80"/>
      </w:pPr>
      <w:bookmarkStart w:id="3" w:name="_cm0qssfkw66b" w:colFirst="0" w:colLast="0"/>
      <w:bookmarkEnd w:id="3"/>
      <w:r>
        <w:rPr>
          <w:noProof/>
        </w:rPr>
        <w:pict w14:anchorId="038E0FE7">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1586" w14:textId="77777777" w:rsidR="00EB3B72" w:rsidRDefault="00EB3B72">
      <w:r>
        <w:separator/>
      </w:r>
    </w:p>
  </w:endnote>
  <w:endnote w:type="continuationSeparator" w:id="0">
    <w:p w14:paraId="3028601C" w14:textId="77777777" w:rsidR="00EB3B72" w:rsidRDefault="00EB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7660" w14:textId="77777777" w:rsidR="00EB3B72" w:rsidRDefault="00EB3B72">
      <w:r>
        <w:separator/>
      </w:r>
    </w:p>
  </w:footnote>
  <w:footnote w:type="continuationSeparator" w:id="0">
    <w:p w14:paraId="447DF27B" w14:textId="77777777" w:rsidR="00EB3B72" w:rsidRDefault="00EB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558A"/>
    <w:rsid w:val="000B600B"/>
    <w:rsid w:val="001255AB"/>
    <w:rsid w:val="001B3BCC"/>
    <w:rsid w:val="002209A8"/>
    <w:rsid w:val="002F2A4B"/>
    <w:rsid w:val="00311799"/>
    <w:rsid w:val="003D41B9"/>
    <w:rsid w:val="003D5AF6"/>
    <w:rsid w:val="00400C53"/>
    <w:rsid w:val="00414BEB"/>
    <w:rsid w:val="00427975"/>
    <w:rsid w:val="004E2C31"/>
    <w:rsid w:val="005B0259"/>
    <w:rsid w:val="00661BCD"/>
    <w:rsid w:val="00686720"/>
    <w:rsid w:val="006A60CA"/>
    <w:rsid w:val="007054B6"/>
    <w:rsid w:val="0078687E"/>
    <w:rsid w:val="009C7B26"/>
    <w:rsid w:val="00A11E52"/>
    <w:rsid w:val="00B2483D"/>
    <w:rsid w:val="00B7786C"/>
    <w:rsid w:val="00BA6511"/>
    <w:rsid w:val="00BB4A9C"/>
    <w:rsid w:val="00BD3E6A"/>
    <w:rsid w:val="00BD41E9"/>
    <w:rsid w:val="00C84413"/>
    <w:rsid w:val="00EB3B72"/>
    <w:rsid w:val="00F102CC"/>
    <w:rsid w:val="00F91042"/>
    <w:rsid w:val="00F95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D41B9"/>
    <w:rPr>
      <w:color w:val="0000FF" w:themeColor="hyperlink"/>
      <w:u w:val="single"/>
    </w:rPr>
  </w:style>
  <w:style w:type="character" w:styleId="UnresolvedMention">
    <w:name w:val="Unresolved Mention"/>
    <w:basedOn w:val="DefaultParagraphFont"/>
    <w:uiPriority w:val="99"/>
    <w:semiHidden/>
    <w:unhideWhenUsed/>
    <w:rsid w:val="003D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ataview.ncbi.nlm.nih.gov/object/PRJNA1288527"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8CEC7130EA954D87C6CD82AC09ECE9"/>
        <w:category>
          <w:name w:val="General"/>
          <w:gallery w:val="placeholder"/>
        </w:category>
        <w:types>
          <w:type w:val="bbPlcHdr"/>
        </w:types>
        <w:behaviors>
          <w:behavior w:val="content"/>
        </w:behaviors>
        <w:guid w:val="{D0D98769-0D83-9C44-8081-59BC1399EB33}"/>
      </w:docPartPr>
      <w:docPartBody>
        <w:p w:rsidR="000B09D2" w:rsidRDefault="00715BED" w:rsidP="00715BED">
          <w:pPr>
            <w:pStyle w:val="418CEC7130EA954D87C6CD82AC09ECE9"/>
          </w:pPr>
          <w:r w:rsidRPr="00403685">
            <w:rPr>
              <w:rStyle w:val="PlaceholderText"/>
            </w:rPr>
            <w:t>Click or tap here to enter text.</w:t>
          </w:r>
        </w:p>
      </w:docPartBody>
    </w:docPart>
    <w:docPart>
      <w:docPartPr>
        <w:name w:val="132A1AD5BBC5924CBE9C9628F6C27BD8"/>
        <w:category>
          <w:name w:val="General"/>
          <w:gallery w:val="placeholder"/>
        </w:category>
        <w:types>
          <w:type w:val="bbPlcHdr"/>
        </w:types>
        <w:behaviors>
          <w:behavior w:val="content"/>
        </w:behaviors>
        <w:guid w:val="{010E2CB3-C6C8-8F47-8FE5-224B369C3771}"/>
      </w:docPartPr>
      <w:docPartBody>
        <w:p w:rsidR="000B09D2" w:rsidRDefault="00715BED" w:rsidP="00715BED">
          <w:pPr>
            <w:pStyle w:val="132A1AD5BBC5924CBE9C9628F6C27BD8"/>
          </w:pPr>
          <w:r w:rsidRPr="004036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ED"/>
    <w:rsid w:val="000B09D2"/>
    <w:rsid w:val="000B558A"/>
    <w:rsid w:val="006E4CB4"/>
    <w:rsid w:val="00715BED"/>
    <w:rsid w:val="00FA1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BED"/>
    <w:rPr>
      <w:color w:val="808080"/>
    </w:rPr>
  </w:style>
  <w:style w:type="paragraph" w:customStyle="1" w:styleId="418CEC7130EA954D87C6CD82AC09ECE9">
    <w:name w:val="418CEC7130EA954D87C6CD82AC09ECE9"/>
    <w:rsid w:val="00715BED"/>
  </w:style>
  <w:style w:type="paragraph" w:customStyle="1" w:styleId="132A1AD5BBC5924CBE9C9628F6C27BD8">
    <w:name w:val="132A1AD5BBC5924CBE9C9628F6C27BD8"/>
    <w:rsid w:val="00715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Sabelo Hadebe</cp:lastModifiedBy>
  <cp:revision>4</cp:revision>
  <dcterms:created xsi:type="dcterms:W3CDTF">2025-08-29T08:46:00Z</dcterms:created>
  <dcterms:modified xsi:type="dcterms:W3CDTF">2025-08-29T14:12:00Z</dcterms:modified>
</cp:coreProperties>
</file>