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D15A8" w14:textId="77777777" w:rsidR="000B7282" w:rsidRDefault="000B7282" w:rsidP="000B7282">
      <w:pPr>
        <w:rPr>
          <w:rFonts w:asciiTheme="majorBidi" w:hAnsiTheme="majorBidi" w:cstheme="majorBidi"/>
          <w:b/>
          <w:bCs/>
          <w:sz w:val="22"/>
          <w:szCs w:val="22"/>
        </w:rPr>
      </w:pPr>
      <w:r w:rsidRPr="00EE0E9C">
        <w:rPr>
          <w:rFonts w:asciiTheme="majorBidi" w:hAnsiTheme="majorBidi" w:cstheme="majorBidi"/>
          <w:b/>
          <w:bCs/>
          <w:sz w:val="22"/>
          <w:szCs w:val="22"/>
        </w:rPr>
        <w:t xml:space="preserve">Supplementary file 3: </w:t>
      </w:r>
      <w:r w:rsidRPr="00EE0E9C">
        <w:rPr>
          <w:rFonts w:asciiTheme="majorBidi" w:hAnsiTheme="majorBidi" w:cstheme="majorBidi"/>
          <w:b/>
          <w:bCs/>
          <w:sz w:val="22"/>
          <w:szCs w:val="22"/>
          <w:vertAlign w:val="superscript"/>
        </w:rPr>
        <w:t>1</w:t>
      </w:r>
      <w:r w:rsidRPr="00EE0E9C">
        <w:rPr>
          <w:rFonts w:asciiTheme="majorBidi" w:hAnsiTheme="majorBidi" w:cstheme="majorBidi"/>
          <w:b/>
          <w:bCs/>
          <w:sz w:val="22"/>
          <w:szCs w:val="22"/>
        </w:rPr>
        <w:t xml:space="preserve">H and </w:t>
      </w:r>
      <w:r w:rsidRPr="00EE0E9C">
        <w:rPr>
          <w:rFonts w:asciiTheme="majorBidi" w:hAnsiTheme="majorBidi" w:cstheme="majorBidi"/>
          <w:b/>
          <w:bCs/>
          <w:sz w:val="22"/>
          <w:szCs w:val="22"/>
          <w:vertAlign w:val="superscript"/>
        </w:rPr>
        <w:t>13</w:t>
      </w:r>
      <w:r w:rsidRPr="00EE0E9C">
        <w:rPr>
          <w:rFonts w:asciiTheme="majorBidi" w:hAnsiTheme="majorBidi" w:cstheme="majorBidi"/>
          <w:b/>
          <w:bCs/>
          <w:sz w:val="22"/>
          <w:szCs w:val="22"/>
        </w:rPr>
        <w:t>C peak assignments and chemical shifts of CBD and 331-18A</w:t>
      </w:r>
    </w:p>
    <w:p w14:paraId="02D7F592" w14:textId="77777777" w:rsidR="00EE0E9C" w:rsidRPr="00EE0E9C" w:rsidRDefault="00EE0E9C" w:rsidP="000B7282">
      <w:pPr>
        <w:rPr>
          <w:rFonts w:asciiTheme="majorBidi" w:hAnsiTheme="majorBidi" w:cstheme="majorBidi"/>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0B7282" w:rsidRPr="00EE0E9C" w14:paraId="430B2435" w14:textId="77777777" w:rsidTr="00413976">
        <w:tc>
          <w:tcPr>
            <w:tcW w:w="1659" w:type="dxa"/>
            <w:tcBorders>
              <w:top w:val="single" w:sz="4" w:space="0" w:color="auto"/>
            </w:tcBorders>
          </w:tcPr>
          <w:p w14:paraId="171493A4" w14:textId="77777777" w:rsidR="000B7282" w:rsidRPr="00EE0E9C" w:rsidRDefault="000B7282" w:rsidP="00413976">
            <w:pPr>
              <w:spacing w:line="360" w:lineRule="auto"/>
              <w:rPr>
                <w:rFonts w:asciiTheme="majorBidi" w:hAnsiTheme="majorBidi" w:cstheme="majorBidi"/>
                <w:b/>
                <w:bCs/>
              </w:rPr>
            </w:pPr>
          </w:p>
        </w:tc>
        <w:tc>
          <w:tcPr>
            <w:tcW w:w="3318" w:type="dxa"/>
            <w:gridSpan w:val="2"/>
            <w:tcBorders>
              <w:top w:val="single" w:sz="4" w:space="0" w:color="auto"/>
            </w:tcBorders>
          </w:tcPr>
          <w:p w14:paraId="0B70CA9B" w14:textId="6D06C750" w:rsidR="000B7282" w:rsidRPr="00EE0E9C" w:rsidRDefault="006F4E92" w:rsidP="00413976">
            <w:pPr>
              <w:spacing w:line="360" w:lineRule="auto"/>
              <w:rPr>
                <w:rFonts w:asciiTheme="majorBidi" w:hAnsiTheme="majorBidi" w:cstheme="majorBidi"/>
                <w:b/>
                <w:bCs/>
              </w:rPr>
            </w:pPr>
            <w:r w:rsidRPr="00EE0E9C">
              <w:rPr>
                <w:rFonts w:asciiTheme="majorBidi" w:hAnsiTheme="majorBidi" w:cstheme="majorBidi"/>
                <w:b/>
                <w:bCs/>
              </w:rPr>
              <w:t xml:space="preserve">              </w:t>
            </w:r>
            <w:proofErr w:type="spellStart"/>
            <w:r w:rsidR="000B7282" w:rsidRPr="00EE0E9C">
              <w:rPr>
                <w:rFonts w:asciiTheme="majorBidi" w:hAnsiTheme="majorBidi" w:cstheme="majorBidi"/>
                <w:b/>
                <w:bCs/>
              </w:rPr>
              <w:t>CBD</w:t>
            </w:r>
            <w:r w:rsidR="000B7282" w:rsidRPr="00EE0E9C">
              <w:rPr>
                <w:rFonts w:asciiTheme="majorBidi" w:hAnsiTheme="majorBidi" w:cstheme="majorBidi"/>
                <w:b/>
                <w:bCs/>
                <w:vertAlign w:val="superscript"/>
              </w:rPr>
              <w:t>a</w:t>
            </w:r>
            <w:proofErr w:type="spellEnd"/>
          </w:p>
        </w:tc>
        <w:tc>
          <w:tcPr>
            <w:tcW w:w="3319" w:type="dxa"/>
            <w:gridSpan w:val="2"/>
            <w:tcBorders>
              <w:top w:val="single" w:sz="4" w:space="0" w:color="auto"/>
            </w:tcBorders>
          </w:tcPr>
          <w:p w14:paraId="01194F7D" w14:textId="10A00A05" w:rsidR="000B7282" w:rsidRPr="00EE0E9C" w:rsidRDefault="006F4E92" w:rsidP="00413976">
            <w:pPr>
              <w:spacing w:line="360" w:lineRule="auto"/>
              <w:rPr>
                <w:rFonts w:asciiTheme="majorBidi" w:hAnsiTheme="majorBidi" w:cstheme="majorBidi"/>
                <w:b/>
                <w:bCs/>
              </w:rPr>
            </w:pPr>
            <w:r w:rsidRPr="00EE0E9C">
              <w:rPr>
                <w:rFonts w:asciiTheme="majorBidi" w:hAnsiTheme="majorBidi" w:cstheme="majorBidi"/>
                <w:b/>
                <w:bCs/>
              </w:rPr>
              <w:t xml:space="preserve">             </w:t>
            </w:r>
            <w:r w:rsidR="000B7282" w:rsidRPr="00EE0E9C">
              <w:rPr>
                <w:rFonts w:asciiTheme="majorBidi" w:hAnsiTheme="majorBidi" w:cstheme="majorBidi"/>
                <w:b/>
                <w:bCs/>
              </w:rPr>
              <w:t>331-18A</w:t>
            </w:r>
          </w:p>
        </w:tc>
      </w:tr>
      <w:tr w:rsidR="000B7282" w:rsidRPr="00EE0E9C" w14:paraId="2004C3AA" w14:textId="77777777" w:rsidTr="00413976">
        <w:tc>
          <w:tcPr>
            <w:tcW w:w="1659" w:type="dxa"/>
            <w:tcBorders>
              <w:bottom w:val="single" w:sz="4" w:space="0" w:color="auto"/>
            </w:tcBorders>
          </w:tcPr>
          <w:p w14:paraId="1D78EF22" w14:textId="77777777" w:rsidR="000B7282" w:rsidRPr="00EE0E9C" w:rsidRDefault="000B7282" w:rsidP="00413976">
            <w:pPr>
              <w:spacing w:line="360" w:lineRule="auto"/>
              <w:rPr>
                <w:rFonts w:asciiTheme="majorBidi" w:hAnsiTheme="majorBidi" w:cstheme="majorBidi"/>
                <w:b/>
                <w:bCs/>
              </w:rPr>
            </w:pPr>
          </w:p>
        </w:tc>
        <w:tc>
          <w:tcPr>
            <w:tcW w:w="1659" w:type="dxa"/>
            <w:tcBorders>
              <w:bottom w:val="single" w:sz="4" w:space="0" w:color="auto"/>
            </w:tcBorders>
          </w:tcPr>
          <w:p w14:paraId="437A9D2E" w14:textId="77777777" w:rsidR="000B7282" w:rsidRPr="00EE0E9C" w:rsidRDefault="000B7282" w:rsidP="00413976">
            <w:pPr>
              <w:spacing w:line="360" w:lineRule="auto"/>
              <w:rPr>
                <w:rFonts w:asciiTheme="majorBidi" w:hAnsiTheme="majorBidi" w:cstheme="majorBidi"/>
                <w:b/>
                <w:bCs/>
              </w:rPr>
            </w:pPr>
            <w:r w:rsidRPr="00EE0E9C">
              <w:rPr>
                <w:rFonts w:asciiTheme="majorBidi" w:hAnsiTheme="majorBidi" w:cstheme="majorBidi"/>
                <w:b/>
                <w:bCs/>
                <w:vertAlign w:val="superscript"/>
              </w:rPr>
              <w:t>1</w:t>
            </w:r>
            <w:r w:rsidRPr="00EE0E9C">
              <w:rPr>
                <w:rFonts w:asciiTheme="majorBidi" w:hAnsiTheme="majorBidi" w:cstheme="majorBidi"/>
                <w:b/>
                <w:bCs/>
              </w:rPr>
              <w:t>H</w:t>
            </w:r>
          </w:p>
        </w:tc>
        <w:tc>
          <w:tcPr>
            <w:tcW w:w="1659" w:type="dxa"/>
            <w:tcBorders>
              <w:bottom w:val="single" w:sz="4" w:space="0" w:color="auto"/>
            </w:tcBorders>
          </w:tcPr>
          <w:p w14:paraId="51ECBF88" w14:textId="77777777" w:rsidR="000B7282" w:rsidRPr="00EE0E9C" w:rsidRDefault="000B7282" w:rsidP="00413976">
            <w:pPr>
              <w:spacing w:line="360" w:lineRule="auto"/>
              <w:rPr>
                <w:rFonts w:asciiTheme="majorBidi" w:hAnsiTheme="majorBidi" w:cstheme="majorBidi"/>
                <w:b/>
                <w:bCs/>
              </w:rPr>
            </w:pPr>
            <w:r w:rsidRPr="00EE0E9C">
              <w:rPr>
                <w:rFonts w:asciiTheme="majorBidi" w:hAnsiTheme="majorBidi" w:cstheme="majorBidi"/>
                <w:b/>
                <w:bCs/>
                <w:vertAlign w:val="superscript"/>
              </w:rPr>
              <w:t>13</w:t>
            </w:r>
            <w:r w:rsidRPr="00EE0E9C">
              <w:rPr>
                <w:rFonts w:asciiTheme="majorBidi" w:hAnsiTheme="majorBidi" w:cstheme="majorBidi"/>
                <w:b/>
                <w:bCs/>
              </w:rPr>
              <w:t>C</w:t>
            </w:r>
          </w:p>
        </w:tc>
        <w:tc>
          <w:tcPr>
            <w:tcW w:w="1659" w:type="dxa"/>
            <w:tcBorders>
              <w:bottom w:val="single" w:sz="4" w:space="0" w:color="auto"/>
            </w:tcBorders>
          </w:tcPr>
          <w:p w14:paraId="027CABBD" w14:textId="77777777" w:rsidR="000B7282" w:rsidRPr="00EE0E9C" w:rsidRDefault="000B7282" w:rsidP="00413976">
            <w:pPr>
              <w:spacing w:line="360" w:lineRule="auto"/>
              <w:rPr>
                <w:rFonts w:asciiTheme="majorBidi" w:hAnsiTheme="majorBidi" w:cstheme="majorBidi"/>
                <w:b/>
                <w:bCs/>
              </w:rPr>
            </w:pPr>
            <w:r w:rsidRPr="00EE0E9C">
              <w:rPr>
                <w:rFonts w:asciiTheme="majorBidi" w:hAnsiTheme="majorBidi" w:cstheme="majorBidi"/>
                <w:b/>
                <w:bCs/>
                <w:vertAlign w:val="superscript"/>
              </w:rPr>
              <w:t>1</w:t>
            </w:r>
            <w:r w:rsidRPr="00EE0E9C">
              <w:rPr>
                <w:rFonts w:asciiTheme="majorBidi" w:hAnsiTheme="majorBidi" w:cstheme="majorBidi"/>
                <w:b/>
                <w:bCs/>
              </w:rPr>
              <w:t>H</w:t>
            </w:r>
          </w:p>
        </w:tc>
        <w:tc>
          <w:tcPr>
            <w:tcW w:w="1660" w:type="dxa"/>
            <w:tcBorders>
              <w:bottom w:val="single" w:sz="4" w:space="0" w:color="auto"/>
            </w:tcBorders>
          </w:tcPr>
          <w:p w14:paraId="03D51149" w14:textId="77777777" w:rsidR="000B7282" w:rsidRPr="00EE0E9C" w:rsidRDefault="000B7282" w:rsidP="00413976">
            <w:pPr>
              <w:spacing w:line="360" w:lineRule="auto"/>
              <w:rPr>
                <w:rFonts w:asciiTheme="majorBidi" w:hAnsiTheme="majorBidi" w:cstheme="majorBidi"/>
                <w:b/>
                <w:bCs/>
              </w:rPr>
            </w:pPr>
            <w:r w:rsidRPr="00EE0E9C">
              <w:rPr>
                <w:rFonts w:asciiTheme="majorBidi" w:hAnsiTheme="majorBidi" w:cstheme="majorBidi"/>
                <w:b/>
                <w:bCs/>
                <w:vertAlign w:val="superscript"/>
              </w:rPr>
              <w:t>13</w:t>
            </w:r>
            <w:r w:rsidRPr="00EE0E9C">
              <w:rPr>
                <w:rFonts w:asciiTheme="majorBidi" w:hAnsiTheme="majorBidi" w:cstheme="majorBidi"/>
                <w:b/>
                <w:bCs/>
              </w:rPr>
              <w:t>C</w:t>
            </w:r>
          </w:p>
        </w:tc>
      </w:tr>
      <w:tr w:rsidR="000B7282" w:rsidRPr="00EE0E9C" w14:paraId="39840CCB" w14:textId="77777777" w:rsidTr="00413976">
        <w:tc>
          <w:tcPr>
            <w:tcW w:w="1659" w:type="dxa"/>
            <w:tcBorders>
              <w:top w:val="single" w:sz="4" w:space="0" w:color="auto"/>
            </w:tcBorders>
          </w:tcPr>
          <w:p w14:paraId="71D30652" w14:textId="77777777" w:rsidR="000B7282" w:rsidRPr="00EE0E9C" w:rsidRDefault="000B7282" w:rsidP="00413976">
            <w:pPr>
              <w:spacing w:line="360" w:lineRule="auto"/>
              <w:rPr>
                <w:rFonts w:asciiTheme="majorBidi" w:hAnsiTheme="majorBidi" w:cstheme="majorBidi"/>
                <w:b/>
                <w:bCs/>
              </w:rPr>
            </w:pPr>
            <w:r w:rsidRPr="00EE0E9C">
              <w:rPr>
                <w:rFonts w:asciiTheme="majorBidi" w:hAnsiTheme="majorBidi" w:cstheme="majorBidi"/>
                <w:b/>
                <w:bCs/>
              </w:rPr>
              <w:t>1</w:t>
            </w:r>
          </w:p>
        </w:tc>
        <w:tc>
          <w:tcPr>
            <w:tcW w:w="1659" w:type="dxa"/>
            <w:tcBorders>
              <w:top w:val="single" w:sz="4" w:space="0" w:color="auto"/>
            </w:tcBorders>
          </w:tcPr>
          <w:p w14:paraId="47A663DF"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3.85</w:t>
            </w:r>
          </w:p>
        </w:tc>
        <w:tc>
          <w:tcPr>
            <w:tcW w:w="1659" w:type="dxa"/>
            <w:tcBorders>
              <w:top w:val="single" w:sz="4" w:space="0" w:color="auto"/>
            </w:tcBorders>
          </w:tcPr>
          <w:p w14:paraId="55524FC8"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37.08</w:t>
            </w:r>
          </w:p>
        </w:tc>
        <w:tc>
          <w:tcPr>
            <w:tcW w:w="1659" w:type="dxa"/>
            <w:tcBorders>
              <w:top w:val="single" w:sz="4" w:space="0" w:color="auto"/>
            </w:tcBorders>
          </w:tcPr>
          <w:p w14:paraId="51CB8977"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3.83</w:t>
            </w:r>
          </w:p>
        </w:tc>
        <w:tc>
          <w:tcPr>
            <w:tcW w:w="1660" w:type="dxa"/>
            <w:tcBorders>
              <w:top w:val="single" w:sz="4" w:space="0" w:color="auto"/>
            </w:tcBorders>
          </w:tcPr>
          <w:p w14:paraId="086583F5"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32.63</w:t>
            </w:r>
          </w:p>
        </w:tc>
      </w:tr>
      <w:tr w:rsidR="000B7282" w:rsidRPr="00EE0E9C" w14:paraId="6EC882BD" w14:textId="77777777" w:rsidTr="00413976">
        <w:tc>
          <w:tcPr>
            <w:tcW w:w="1659" w:type="dxa"/>
          </w:tcPr>
          <w:p w14:paraId="19EBA9D4" w14:textId="77777777" w:rsidR="000B7282" w:rsidRPr="00EE0E9C" w:rsidRDefault="000B7282" w:rsidP="00413976">
            <w:pPr>
              <w:spacing w:line="360" w:lineRule="auto"/>
              <w:rPr>
                <w:rFonts w:asciiTheme="majorBidi" w:hAnsiTheme="majorBidi" w:cstheme="majorBidi"/>
                <w:b/>
                <w:bCs/>
              </w:rPr>
            </w:pPr>
            <w:r w:rsidRPr="00EE0E9C">
              <w:rPr>
                <w:rFonts w:asciiTheme="majorBidi" w:hAnsiTheme="majorBidi" w:cstheme="majorBidi"/>
                <w:b/>
                <w:bCs/>
              </w:rPr>
              <w:t>2</w:t>
            </w:r>
          </w:p>
        </w:tc>
        <w:tc>
          <w:tcPr>
            <w:tcW w:w="1659" w:type="dxa"/>
          </w:tcPr>
          <w:p w14:paraId="00DEFAF1"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5.57</w:t>
            </w:r>
          </w:p>
        </w:tc>
        <w:tc>
          <w:tcPr>
            <w:tcW w:w="1659" w:type="dxa"/>
          </w:tcPr>
          <w:p w14:paraId="054DA9A0"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123.96</w:t>
            </w:r>
          </w:p>
        </w:tc>
        <w:tc>
          <w:tcPr>
            <w:tcW w:w="1659" w:type="dxa"/>
          </w:tcPr>
          <w:p w14:paraId="0F7109D7"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5.71</w:t>
            </w:r>
          </w:p>
        </w:tc>
        <w:tc>
          <w:tcPr>
            <w:tcW w:w="1660" w:type="dxa"/>
          </w:tcPr>
          <w:p w14:paraId="7E932A3E"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123.45</w:t>
            </w:r>
          </w:p>
        </w:tc>
      </w:tr>
      <w:tr w:rsidR="000B7282" w:rsidRPr="00EE0E9C" w14:paraId="54F58CD4" w14:textId="77777777" w:rsidTr="00413976">
        <w:tc>
          <w:tcPr>
            <w:tcW w:w="1659" w:type="dxa"/>
          </w:tcPr>
          <w:p w14:paraId="1D4C8692" w14:textId="77777777" w:rsidR="000B7282" w:rsidRPr="00EE0E9C" w:rsidRDefault="000B7282" w:rsidP="00413976">
            <w:pPr>
              <w:spacing w:line="360" w:lineRule="auto"/>
              <w:rPr>
                <w:rFonts w:asciiTheme="majorBidi" w:hAnsiTheme="majorBidi" w:cstheme="majorBidi"/>
                <w:b/>
                <w:bCs/>
              </w:rPr>
            </w:pPr>
            <w:r w:rsidRPr="00EE0E9C">
              <w:rPr>
                <w:rFonts w:asciiTheme="majorBidi" w:hAnsiTheme="majorBidi" w:cstheme="majorBidi"/>
                <w:b/>
                <w:bCs/>
              </w:rPr>
              <w:t>3</w:t>
            </w:r>
          </w:p>
        </w:tc>
        <w:tc>
          <w:tcPr>
            <w:tcW w:w="1659" w:type="dxa"/>
          </w:tcPr>
          <w:p w14:paraId="1BD356E6"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w:t>
            </w:r>
          </w:p>
        </w:tc>
        <w:tc>
          <w:tcPr>
            <w:tcW w:w="1659" w:type="dxa"/>
          </w:tcPr>
          <w:p w14:paraId="15B97074"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140.21</w:t>
            </w:r>
          </w:p>
        </w:tc>
        <w:tc>
          <w:tcPr>
            <w:tcW w:w="1659" w:type="dxa"/>
          </w:tcPr>
          <w:p w14:paraId="061BBCC7"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w:t>
            </w:r>
          </w:p>
        </w:tc>
        <w:tc>
          <w:tcPr>
            <w:tcW w:w="1660" w:type="dxa"/>
          </w:tcPr>
          <w:p w14:paraId="7125DF54"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140.20</w:t>
            </w:r>
          </w:p>
        </w:tc>
      </w:tr>
      <w:tr w:rsidR="000B7282" w:rsidRPr="00EE0E9C" w14:paraId="1E5A53F6" w14:textId="77777777" w:rsidTr="00413976">
        <w:tc>
          <w:tcPr>
            <w:tcW w:w="1659" w:type="dxa"/>
          </w:tcPr>
          <w:p w14:paraId="6B288FD5" w14:textId="77777777" w:rsidR="000B7282" w:rsidRPr="00EE0E9C" w:rsidRDefault="000B7282" w:rsidP="00413976">
            <w:pPr>
              <w:spacing w:line="360" w:lineRule="auto"/>
              <w:rPr>
                <w:rFonts w:asciiTheme="majorBidi" w:hAnsiTheme="majorBidi" w:cstheme="majorBidi"/>
                <w:b/>
                <w:bCs/>
              </w:rPr>
            </w:pPr>
            <w:r w:rsidRPr="00EE0E9C">
              <w:rPr>
                <w:rFonts w:asciiTheme="majorBidi" w:hAnsiTheme="majorBidi" w:cstheme="majorBidi"/>
                <w:b/>
                <w:bCs/>
              </w:rPr>
              <w:t>4</w:t>
            </w:r>
          </w:p>
        </w:tc>
        <w:tc>
          <w:tcPr>
            <w:tcW w:w="1659" w:type="dxa"/>
          </w:tcPr>
          <w:p w14:paraId="0E22D106"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2.10, 2.23</w:t>
            </w:r>
          </w:p>
        </w:tc>
        <w:tc>
          <w:tcPr>
            <w:tcW w:w="1659" w:type="dxa"/>
          </w:tcPr>
          <w:p w14:paraId="68B9835B"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30.31</w:t>
            </w:r>
          </w:p>
        </w:tc>
        <w:tc>
          <w:tcPr>
            <w:tcW w:w="1659" w:type="dxa"/>
          </w:tcPr>
          <w:p w14:paraId="2FF13265"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2.06, 2.13</w:t>
            </w:r>
          </w:p>
        </w:tc>
        <w:tc>
          <w:tcPr>
            <w:tcW w:w="1660" w:type="dxa"/>
          </w:tcPr>
          <w:p w14:paraId="53271B97"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27.08</w:t>
            </w:r>
          </w:p>
        </w:tc>
      </w:tr>
      <w:tr w:rsidR="000B7282" w:rsidRPr="00EE0E9C" w14:paraId="7E19AFC9" w14:textId="77777777" w:rsidTr="00413976">
        <w:tc>
          <w:tcPr>
            <w:tcW w:w="1659" w:type="dxa"/>
          </w:tcPr>
          <w:p w14:paraId="0A53D19F" w14:textId="77777777" w:rsidR="000B7282" w:rsidRPr="00EE0E9C" w:rsidRDefault="000B7282" w:rsidP="00413976">
            <w:pPr>
              <w:spacing w:line="360" w:lineRule="auto"/>
              <w:rPr>
                <w:rFonts w:asciiTheme="majorBidi" w:hAnsiTheme="majorBidi" w:cstheme="majorBidi"/>
                <w:b/>
                <w:bCs/>
              </w:rPr>
            </w:pPr>
            <w:r w:rsidRPr="00EE0E9C">
              <w:rPr>
                <w:rFonts w:asciiTheme="majorBidi" w:hAnsiTheme="majorBidi" w:cstheme="majorBidi"/>
                <w:b/>
                <w:bCs/>
              </w:rPr>
              <w:t>5</w:t>
            </w:r>
          </w:p>
        </w:tc>
        <w:tc>
          <w:tcPr>
            <w:tcW w:w="1659" w:type="dxa"/>
          </w:tcPr>
          <w:p w14:paraId="4C9D7EA7"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1.77, 1.82</w:t>
            </w:r>
          </w:p>
        </w:tc>
        <w:tc>
          <w:tcPr>
            <w:tcW w:w="1659" w:type="dxa"/>
          </w:tcPr>
          <w:p w14:paraId="5110A7DB"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28.28</w:t>
            </w:r>
          </w:p>
        </w:tc>
        <w:tc>
          <w:tcPr>
            <w:tcW w:w="1659" w:type="dxa"/>
          </w:tcPr>
          <w:p w14:paraId="07045893"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1.73, 1.97</w:t>
            </w:r>
          </w:p>
        </w:tc>
        <w:tc>
          <w:tcPr>
            <w:tcW w:w="1660" w:type="dxa"/>
          </w:tcPr>
          <w:p w14:paraId="4CC6B4FA"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22.66</w:t>
            </w:r>
          </w:p>
        </w:tc>
      </w:tr>
      <w:tr w:rsidR="000B7282" w:rsidRPr="00EE0E9C" w14:paraId="2D480A3B" w14:textId="77777777" w:rsidTr="00413976">
        <w:tc>
          <w:tcPr>
            <w:tcW w:w="1659" w:type="dxa"/>
          </w:tcPr>
          <w:p w14:paraId="3A79B179" w14:textId="77777777" w:rsidR="000B7282" w:rsidRPr="00EE0E9C" w:rsidRDefault="000B7282" w:rsidP="00413976">
            <w:pPr>
              <w:spacing w:line="360" w:lineRule="auto"/>
              <w:rPr>
                <w:rFonts w:asciiTheme="majorBidi" w:hAnsiTheme="majorBidi" w:cstheme="majorBidi"/>
                <w:b/>
                <w:bCs/>
              </w:rPr>
            </w:pPr>
            <w:r w:rsidRPr="00EE0E9C">
              <w:rPr>
                <w:rFonts w:asciiTheme="majorBidi" w:hAnsiTheme="majorBidi" w:cstheme="majorBidi"/>
                <w:b/>
                <w:bCs/>
              </w:rPr>
              <w:t>6</w:t>
            </w:r>
          </w:p>
        </w:tc>
        <w:tc>
          <w:tcPr>
            <w:tcW w:w="1659" w:type="dxa"/>
          </w:tcPr>
          <w:p w14:paraId="699A47BF"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2.39</w:t>
            </w:r>
          </w:p>
        </w:tc>
        <w:tc>
          <w:tcPr>
            <w:tcW w:w="1659" w:type="dxa"/>
          </w:tcPr>
          <w:p w14:paraId="5EBF4D97"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46.10</w:t>
            </w:r>
          </w:p>
        </w:tc>
        <w:tc>
          <w:tcPr>
            <w:tcW w:w="1659" w:type="dxa"/>
          </w:tcPr>
          <w:p w14:paraId="6C108693"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1.90</w:t>
            </w:r>
          </w:p>
        </w:tc>
        <w:tc>
          <w:tcPr>
            <w:tcW w:w="1660" w:type="dxa"/>
          </w:tcPr>
          <w:p w14:paraId="5107A4BF"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48.24</w:t>
            </w:r>
          </w:p>
        </w:tc>
      </w:tr>
      <w:tr w:rsidR="000B7282" w:rsidRPr="00EE0E9C" w14:paraId="7E7F6CBA" w14:textId="77777777" w:rsidTr="00413976">
        <w:tc>
          <w:tcPr>
            <w:tcW w:w="1659" w:type="dxa"/>
          </w:tcPr>
          <w:p w14:paraId="3FBD40EA" w14:textId="77777777" w:rsidR="000B7282" w:rsidRPr="00EE0E9C" w:rsidRDefault="000B7282" w:rsidP="00413976">
            <w:pPr>
              <w:spacing w:line="360" w:lineRule="auto"/>
              <w:rPr>
                <w:rFonts w:asciiTheme="majorBidi" w:hAnsiTheme="majorBidi" w:cstheme="majorBidi"/>
                <w:b/>
                <w:bCs/>
              </w:rPr>
            </w:pPr>
            <w:r w:rsidRPr="00EE0E9C">
              <w:rPr>
                <w:rFonts w:asciiTheme="majorBidi" w:hAnsiTheme="majorBidi" w:cstheme="majorBidi"/>
                <w:b/>
                <w:bCs/>
              </w:rPr>
              <w:t>7</w:t>
            </w:r>
          </w:p>
        </w:tc>
        <w:tc>
          <w:tcPr>
            <w:tcW w:w="1659" w:type="dxa"/>
          </w:tcPr>
          <w:p w14:paraId="5A7035C9"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1.79</w:t>
            </w:r>
          </w:p>
        </w:tc>
        <w:tc>
          <w:tcPr>
            <w:tcW w:w="1659" w:type="dxa"/>
          </w:tcPr>
          <w:p w14:paraId="1DCC45A0"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23.75</w:t>
            </w:r>
          </w:p>
        </w:tc>
        <w:tc>
          <w:tcPr>
            <w:tcW w:w="1659" w:type="dxa"/>
          </w:tcPr>
          <w:p w14:paraId="4097CA4A"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1.81</w:t>
            </w:r>
          </w:p>
        </w:tc>
        <w:tc>
          <w:tcPr>
            <w:tcW w:w="1660" w:type="dxa"/>
          </w:tcPr>
          <w:p w14:paraId="1A385772"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23.82</w:t>
            </w:r>
          </w:p>
        </w:tc>
      </w:tr>
      <w:tr w:rsidR="000B7282" w:rsidRPr="00EE0E9C" w14:paraId="5BBDEBF0" w14:textId="77777777" w:rsidTr="00413976">
        <w:tc>
          <w:tcPr>
            <w:tcW w:w="1659" w:type="dxa"/>
          </w:tcPr>
          <w:p w14:paraId="797B243D" w14:textId="77777777" w:rsidR="000B7282" w:rsidRPr="00EE0E9C" w:rsidRDefault="000B7282" w:rsidP="00413976">
            <w:pPr>
              <w:spacing w:line="360" w:lineRule="auto"/>
              <w:rPr>
                <w:rFonts w:asciiTheme="majorBidi" w:hAnsiTheme="majorBidi" w:cstheme="majorBidi"/>
                <w:b/>
                <w:bCs/>
              </w:rPr>
            </w:pPr>
            <w:r w:rsidRPr="00EE0E9C">
              <w:rPr>
                <w:rFonts w:asciiTheme="majorBidi" w:hAnsiTheme="majorBidi" w:cstheme="majorBidi"/>
                <w:b/>
                <w:bCs/>
              </w:rPr>
              <w:t>8</w:t>
            </w:r>
          </w:p>
        </w:tc>
        <w:tc>
          <w:tcPr>
            <w:tcW w:w="1659" w:type="dxa"/>
          </w:tcPr>
          <w:p w14:paraId="042A1DFE"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w:t>
            </w:r>
          </w:p>
        </w:tc>
        <w:tc>
          <w:tcPr>
            <w:tcW w:w="1659" w:type="dxa"/>
          </w:tcPr>
          <w:p w14:paraId="5ECD470E"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149.38</w:t>
            </w:r>
          </w:p>
        </w:tc>
        <w:tc>
          <w:tcPr>
            <w:tcW w:w="1659" w:type="dxa"/>
          </w:tcPr>
          <w:p w14:paraId="042BBD41"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w:t>
            </w:r>
          </w:p>
        </w:tc>
        <w:tc>
          <w:tcPr>
            <w:tcW w:w="1660" w:type="dxa"/>
          </w:tcPr>
          <w:p w14:paraId="1D081FF0"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75.19</w:t>
            </w:r>
          </w:p>
        </w:tc>
      </w:tr>
      <w:tr w:rsidR="000B7282" w:rsidRPr="00EE0E9C" w14:paraId="54EE1A4B" w14:textId="77777777" w:rsidTr="00413976">
        <w:tc>
          <w:tcPr>
            <w:tcW w:w="1659" w:type="dxa"/>
          </w:tcPr>
          <w:p w14:paraId="20114768" w14:textId="77777777" w:rsidR="000B7282" w:rsidRPr="00EE0E9C" w:rsidRDefault="000B7282" w:rsidP="00413976">
            <w:pPr>
              <w:spacing w:line="360" w:lineRule="auto"/>
              <w:rPr>
                <w:rFonts w:asciiTheme="majorBidi" w:hAnsiTheme="majorBidi" w:cstheme="majorBidi"/>
                <w:b/>
                <w:bCs/>
              </w:rPr>
            </w:pPr>
            <w:r w:rsidRPr="00EE0E9C">
              <w:rPr>
                <w:rFonts w:asciiTheme="majorBidi" w:hAnsiTheme="majorBidi" w:cstheme="majorBidi"/>
                <w:b/>
                <w:bCs/>
              </w:rPr>
              <w:t>9</w:t>
            </w:r>
          </w:p>
        </w:tc>
        <w:tc>
          <w:tcPr>
            <w:tcW w:w="1659" w:type="dxa"/>
          </w:tcPr>
          <w:p w14:paraId="51ED25DD"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1.66</w:t>
            </w:r>
          </w:p>
        </w:tc>
        <w:tc>
          <w:tcPr>
            <w:tcW w:w="1659" w:type="dxa"/>
          </w:tcPr>
          <w:p w14:paraId="11D27B43"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20.44</w:t>
            </w:r>
          </w:p>
        </w:tc>
        <w:tc>
          <w:tcPr>
            <w:tcW w:w="1659" w:type="dxa"/>
          </w:tcPr>
          <w:p w14:paraId="52CF6300"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1.25</w:t>
            </w:r>
          </w:p>
        </w:tc>
        <w:tc>
          <w:tcPr>
            <w:tcW w:w="1660" w:type="dxa"/>
          </w:tcPr>
          <w:p w14:paraId="7915D089"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25.97</w:t>
            </w:r>
          </w:p>
        </w:tc>
      </w:tr>
      <w:tr w:rsidR="000B7282" w:rsidRPr="00EE0E9C" w14:paraId="433A7A2A" w14:textId="77777777" w:rsidTr="00413976">
        <w:tc>
          <w:tcPr>
            <w:tcW w:w="1659" w:type="dxa"/>
          </w:tcPr>
          <w:p w14:paraId="4D739945" w14:textId="77777777" w:rsidR="000B7282" w:rsidRPr="00EE0E9C" w:rsidRDefault="000B7282" w:rsidP="00413976">
            <w:pPr>
              <w:spacing w:line="360" w:lineRule="auto"/>
              <w:rPr>
                <w:rFonts w:asciiTheme="majorBidi" w:hAnsiTheme="majorBidi" w:cstheme="majorBidi"/>
                <w:b/>
                <w:bCs/>
              </w:rPr>
            </w:pPr>
            <w:r w:rsidRPr="00EE0E9C">
              <w:rPr>
                <w:rFonts w:asciiTheme="majorBidi" w:hAnsiTheme="majorBidi" w:cstheme="majorBidi"/>
                <w:b/>
                <w:bCs/>
              </w:rPr>
              <w:t>10</w:t>
            </w:r>
          </w:p>
        </w:tc>
        <w:tc>
          <w:tcPr>
            <w:tcW w:w="1659" w:type="dxa"/>
          </w:tcPr>
          <w:p w14:paraId="66CBC6BA"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4.55, 4.67</w:t>
            </w:r>
          </w:p>
        </w:tc>
        <w:tc>
          <w:tcPr>
            <w:tcW w:w="1659" w:type="dxa"/>
          </w:tcPr>
          <w:p w14:paraId="3293C588"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110.86</w:t>
            </w:r>
          </w:p>
        </w:tc>
        <w:tc>
          <w:tcPr>
            <w:tcW w:w="1659" w:type="dxa"/>
          </w:tcPr>
          <w:p w14:paraId="6A0DC4D3"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1.26</w:t>
            </w:r>
          </w:p>
        </w:tc>
        <w:tc>
          <w:tcPr>
            <w:tcW w:w="1660" w:type="dxa"/>
          </w:tcPr>
          <w:p w14:paraId="2D44CB5D"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29.70</w:t>
            </w:r>
          </w:p>
        </w:tc>
      </w:tr>
      <w:tr w:rsidR="000B7282" w:rsidRPr="00EE0E9C" w14:paraId="7C079085" w14:textId="77777777" w:rsidTr="00413976">
        <w:tc>
          <w:tcPr>
            <w:tcW w:w="1659" w:type="dxa"/>
          </w:tcPr>
          <w:p w14:paraId="356D6CC2" w14:textId="77777777" w:rsidR="000B7282" w:rsidRPr="00EE0E9C" w:rsidRDefault="000B7282" w:rsidP="00413976">
            <w:pPr>
              <w:spacing w:line="360" w:lineRule="auto"/>
              <w:rPr>
                <w:rFonts w:asciiTheme="majorBidi" w:hAnsiTheme="majorBidi" w:cstheme="majorBidi"/>
                <w:b/>
                <w:bCs/>
              </w:rPr>
            </w:pPr>
            <w:r w:rsidRPr="00EE0E9C">
              <w:rPr>
                <w:rFonts w:asciiTheme="majorBidi" w:hAnsiTheme="majorBidi" w:cstheme="majorBidi"/>
                <w:b/>
                <w:bCs/>
              </w:rPr>
              <w:t>1'</w:t>
            </w:r>
          </w:p>
        </w:tc>
        <w:tc>
          <w:tcPr>
            <w:tcW w:w="1659" w:type="dxa"/>
          </w:tcPr>
          <w:p w14:paraId="41F21D9A"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w:t>
            </w:r>
          </w:p>
        </w:tc>
        <w:tc>
          <w:tcPr>
            <w:tcW w:w="1659" w:type="dxa"/>
          </w:tcPr>
          <w:p w14:paraId="00666F98"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113.63</w:t>
            </w:r>
          </w:p>
        </w:tc>
        <w:tc>
          <w:tcPr>
            <w:tcW w:w="1659" w:type="dxa"/>
          </w:tcPr>
          <w:p w14:paraId="74D3DB1B"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w:t>
            </w:r>
          </w:p>
        </w:tc>
        <w:tc>
          <w:tcPr>
            <w:tcW w:w="1660" w:type="dxa"/>
          </w:tcPr>
          <w:p w14:paraId="7E89802F"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114.66</w:t>
            </w:r>
          </w:p>
        </w:tc>
      </w:tr>
      <w:tr w:rsidR="000B7282" w:rsidRPr="00EE0E9C" w14:paraId="504FF744" w14:textId="77777777" w:rsidTr="00413976">
        <w:tc>
          <w:tcPr>
            <w:tcW w:w="1659" w:type="dxa"/>
          </w:tcPr>
          <w:p w14:paraId="49402B7D" w14:textId="77777777" w:rsidR="000B7282" w:rsidRPr="00EE0E9C" w:rsidRDefault="000B7282" w:rsidP="00413976">
            <w:pPr>
              <w:spacing w:line="360" w:lineRule="auto"/>
              <w:rPr>
                <w:rFonts w:asciiTheme="majorBidi" w:hAnsiTheme="majorBidi" w:cstheme="majorBidi"/>
                <w:b/>
                <w:bCs/>
              </w:rPr>
            </w:pPr>
            <w:r w:rsidRPr="00EE0E9C">
              <w:rPr>
                <w:rFonts w:asciiTheme="majorBidi" w:hAnsiTheme="majorBidi" w:cstheme="majorBidi"/>
                <w:b/>
                <w:bCs/>
              </w:rPr>
              <w:t>2'</w:t>
            </w:r>
          </w:p>
        </w:tc>
        <w:tc>
          <w:tcPr>
            <w:tcW w:w="1659" w:type="dxa"/>
          </w:tcPr>
          <w:p w14:paraId="3DD126EA"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w:t>
            </w:r>
          </w:p>
        </w:tc>
        <w:tc>
          <w:tcPr>
            <w:tcW w:w="1659" w:type="dxa"/>
          </w:tcPr>
          <w:p w14:paraId="1BCEA3F2"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155.95</w:t>
            </w:r>
          </w:p>
        </w:tc>
        <w:tc>
          <w:tcPr>
            <w:tcW w:w="1659" w:type="dxa"/>
          </w:tcPr>
          <w:p w14:paraId="61743296"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w:t>
            </w:r>
          </w:p>
        </w:tc>
        <w:tc>
          <w:tcPr>
            <w:tcW w:w="1660" w:type="dxa"/>
          </w:tcPr>
          <w:p w14:paraId="41C57CC2"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155.97</w:t>
            </w:r>
          </w:p>
        </w:tc>
      </w:tr>
      <w:tr w:rsidR="000B7282" w:rsidRPr="00EE0E9C" w14:paraId="505695FE" w14:textId="77777777" w:rsidTr="00413976">
        <w:tc>
          <w:tcPr>
            <w:tcW w:w="1659" w:type="dxa"/>
          </w:tcPr>
          <w:p w14:paraId="26CDCEE9" w14:textId="77777777" w:rsidR="000B7282" w:rsidRPr="00EE0E9C" w:rsidRDefault="000B7282" w:rsidP="00413976">
            <w:pPr>
              <w:spacing w:line="360" w:lineRule="auto"/>
              <w:rPr>
                <w:rFonts w:asciiTheme="majorBidi" w:hAnsiTheme="majorBidi" w:cstheme="majorBidi"/>
                <w:b/>
                <w:bCs/>
              </w:rPr>
            </w:pPr>
            <w:r w:rsidRPr="00EE0E9C">
              <w:rPr>
                <w:rFonts w:asciiTheme="majorBidi" w:hAnsiTheme="majorBidi" w:cstheme="majorBidi"/>
                <w:b/>
                <w:bCs/>
              </w:rPr>
              <w:t>2'-OH</w:t>
            </w:r>
          </w:p>
        </w:tc>
        <w:tc>
          <w:tcPr>
            <w:tcW w:w="1659" w:type="dxa"/>
          </w:tcPr>
          <w:p w14:paraId="40878701"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6.05</w:t>
            </w:r>
          </w:p>
        </w:tc>
        <w:tc>
          <w:tcPr>
            <w:tcW w:w="1659" w:type="dxa"/>
          </w:tcPr>
          <w:p w14:paraId="2A52FA58"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w:t>
            </w:r>
          </w:p>
        </w:tc>
        <w:tc>
          <w:tcPr>
            <w:tcW w:w="1659" w:type="dxa"/>
          </w:tcPr>
          <w:p w14:paraId="4C5AD8A9"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6.61</w:t>
            </w:r>
          </w:p>
        </w:tc>
        <w:tc>
          <w:tcPr>
            <w:tcW w:w="1660" w:type="dxa"/>
          </w:tcPr>
          <w:p w14:paraId="5436AB4D"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w:t>
            </w:r>
          </w:p>
        </w:tc>
      </w:tr>
      <w:tr w:rsidR="000B7282" w:rsidRPr="00EE0E9C" w14:paraId="195EF61A" w14:textId="77777777" w:rsidTr="00413976">
        <w:tc>
          <w:tcPr>
            <w:tcW w:w="1659" w:type="dxa"/>
          </w:tcPr>
          <w:p w14:paraId="24C51621" w14:textId="77777777" w:rsidR="000B7282" w:rsidRPr="00EE0E9C" w:rsidRDefault="000B7282" w:rsidP="00413976">
            <w:pPr>
              <w:spacing w:line="360" w:lineRule="auto"/>
              <w:rPr>
                <w:rFonts w:asciiTheme="majorBidi" w:hAnsiTheme="majorBidi" w:cstheme="majorBidi"/>
                <w:b/>
                <w:bCs/>
              </w:rPr>
            </w:pPr>
            <w:r w:rsidRPr="00EE0E9C">
              <w:rPr>
                <w:rFonts w:asciiTheme="majorBidi" w:hAnsiTheme="majorBidi" w:cstheme="majorBidi"/>
                <w:b/>
                <w:bCs/>
              </w:rPr>
              <w:t>3'</w:t>
            </w:r>
          </w:p>
        </w:tc>
        <w:tc>
          <w:tcPr>
            <w:tcW w:w="1659" w:type="dxa"/>
          </w:tcPr>
          <w:p w14:paraId="37EEB632"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6.29</w:t>
            </w:r>
          </w:p>
        </w:tc>
        <w:tc>
          <w:tcPr>
            <w:tcW w:w="1659" w:type="dxa"/>
          </w:tcPr>
          <w:p w14:paraId="5BD07D92"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109.68</w:t>
            </w:r>
          </w:p>
        </w:tc>
        <w:tc>
          <w:tcPr>
            <w:tcW w:w="1659" w:type="dxa"/>
          </w:tcPr>
          <w:p w14:paraId="686E28F9"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6.26</w:t>
            </w:r>
          </w:p>
        </w:tc>
        <w:tc>
          <w:tcPr>
            <w:tcW w:w="1660" w:type="dxa"/>
          </w:tcPr>
          <w:p w14:paraId="6526B79D"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109.44</w:t>
            </w:r>
          </w:p>
        </w:tc>
      </w:tr>
      <w:tr w:rsidR="000B7282" w:rsidRPr="00EE0E9C" w14:paraId="2C0DF16D" w14:textId="77777777" w:rsidTr="00413976">
        <w:tc>
          <w:tcPr>
            <w:tcW w:w="1659" w:type="dxa"/>
          </w:tcPr>
          <w:p w14:paraId="6B1404C8" w14:textId="77777777" w:rsidR="000B7282" w:rsidRPr="00EE0E9C" w:rsidRDefault="000B7282" w:rsidP="00413976">
            <w:pPr>
              <w:spacing w:line="360" w:lineRule="auto"/>
              <w:rPr>
                <w:rFonts w:asciiTheme="majorBidi" w:hAnsiTheme="majorBidi" w:cstheme="majorBidi"/>
                <w:b/>
                <w:bCs/>
              </w:rPr>
            </w:pPr>
            <w:r w:rsidRPr="00EE0E9C">
              <w:rPr>
                <w:rFonts w:asciiTheme="majorBidi" w:hAnsiTheme="majorBidi" w:cstheme="majorBidi"/>
                <w:b/>
                <w:bCs/>
              </w:rPr>
              <w:t>4'</w:t>
            </w:r>
          </w:p>
        </w:tc>
        <w:tc>
          <w:tcPr>
            <w:tcW w:w="1659" w:type="dxa"/>
          </w:tcPr>
          <w:p w14:paraId="7A08557A"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w:t>
            </w:r>
          </w:p>
        </w:tc>
        <w:tc>
          <w:tcPr>
            <w:tcW w:w="1659" w:type="dxa"/>
          </w:tcPr>
          <w:p w14:paraId="2CC42E05"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143.02</w:t>
            </w:r>
          </w:p>
        </w:tc>
        <w:tc>
          <w:tcPr>
            <w:tcW w:w="1659" w:type="dxa"/>
          </w:tcPr>
          <w:p w14:paraId="7D2643AA"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w:t>
            </w:r>
          </w:p>
        </w:tc>
        <w:tc>
          <w:tcPr>
            <w:tcW w:w="1660" w:type="dxa"/>
          </w:tcPr>
          <w:p w14:paraId="3FFEC665"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143.52</w:t>
            </w:r>
          </w:p>
        </w:tc>
      </w:tr>
      <w:tr w:rsidR="000B7282" w:rsidRPr="00EE0E9C" w14:paraId="3BDD5D9C" w14:textId="77777777" w:rsidTr="00413976">
        <w:tc>
          <w:tcPr>
            <w:tcW w:w="1659" w:type="dxa"/>
          </w:tcPr>
          <w:p w14:paraId="2DF3A92E" w14:textId="77777777" w:rsidR="000B7282" w:rsidRPr="00EE0E9C" w:rsidRDefault="000B7282" w:rsidP="00413976">
            <w:pPr>
              <w:spacing w:line="360" w:lineRule="auto"/>
              <w:rPr>
                <w:rFonts w:asciiTheme="majorBidi" w:hAnsiTheme="majorBidi" w:cstheme="majorBidi"/>
                <w:b/>
                <w:bCs/>
              </w:rPr>
            </w:pPr>
            <w:r w:rsidRPr="00EE0E9C">
              <w:rPr>
                <w:rFonts w:asciiTheme="majorBidi" w:hAnsiTheme="majorBidi" w:cstheme="majorBidi"/>
                <w:b/>
                <w:bCs/>
              </w:rPr>
              <w:t>5'</w:t>
            </w:r>
          </w:p>
        </w:tc>
        <w:tc>
          <w:tcPr>
            <w:tcW w:w="1659" w:type="dxa"/>
          </w:tcPr>
          <w:p w14:paraId="77AE2798"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6.16</w:t>
            </w:r>
          </w:p>
        </w:tc>
        <w:tc>
          <w:tcPr>
            <w:tcW w:w="1659" w:type="dxa"/>
          </w:tcPr>
          <w:p w14:paraId="6F31E2E9"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107.88</w:t>
            </w:r>
          </w:p>
        </w:tc>
        <w:tc>
          <w:tcPr>
            <w:tcW w:w="1659" w:type="dxa"/>
          </w:tcPr>
          <w:p w14:paraId="67DAE5AD"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6.33</w:t>
            </w:r>
          </w:p>
        </w:tc>
        <w:tc>
          <w:tcPr>
            <w:tcW w:w="1660" w:type="dxa"/>
          </w:tcPr>
          <w:p w14:paraId="53AA0061"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109.44</w:t>
            </w:r>
          </w:p>
        </w:tc>
      </w:tr>
      <w:tr w:rsidR="000B7282" w:rsidRPr="00EE0E9C" w14:paraId="356B2A00" w14:textId="77777777" w:rsidTr="00413976">
        <w:tc>
          <w:tcPr>
            <w:tcW w:w="1659" w:type="dxa"/>
          </w:tcPr>
          <w:p w14:paraId="365CF161" w14:textId="77777777" w:rsidR="000B7282" w:rsidRPr="00EE0E9C" w:rsidRDefault="000B7282" w:rsidP="00413976">
            <w:pPr>
              <w:spacing w:line="360" w:lineRule="auto"/>
              <w:rPr>
                <w:rFonts w:asciiTheme="majorBidi" w:hAnsiTheme="majorBidi" w:cstheme="majorBidi"/>
                <w:b/>
                <w:bCs/>
              </w:rPr>
            </w:pPr>
            <w:r w:rsidRPr="00EE0E9C">
              <w:rPr>
                <w:rFonts w:asciiTheme="majorBidi" w:hAnsiTheme="majorBidi" w:cstheme="majorBidi"/>
                <w:b/>
                <w:bCs/>
              </w:rPr>
              <w:t>5'-OH</w:t>
            </w:r>
          </w:p>
        </w:tc>
        <w:tc>
          <w:tcPr>
            <w:tcW w:w="1659" w:type="dxa"/>
          </w:tcPr>
          <w:p w14:paraId="26A4E98F"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4.77</w:t>
            </w:r>
          </w:p>
        </w:tc>
        <w:tc>
          <w:tcPr>
            <w:tcW w:w="1659" w:type="dxa"/>
          </w:tcPr>
          <w:p w14:paraId="1FA0EC31"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w:t>
            </w:r>
          </w:p>
        </w:tc>
        <w:tc>
          <w:tcPr>
            <w:tcW w:w="1659" w:type="dxa"/>
          </w:tcPr>
          <w:p w14:paraId="7B91D416"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7.64</w:t>
            </w:r>
          </w:p>
        </w:tc>
        <w:tc>
          <w:tcPr>
            <w:tcW w:w="1660" w:type="dxa"/>
          </w:tcPr>
          <w:p w14:paraId="24824A5A"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w:t>
            </w:r>
          </w:p>
        </w:tc>
      </w:tr>
      <w:tr w:rsidR="000B7282" w:rsidRPr="00EE0E9C" w14:paraId="49FA8FDD" w14:textId="77777777" w:rsidTr="00413976">
        <w:tc>
          <w:tcPr>
            <w:tcW w:w="1659" w:type="dxa"/>
          </w:tcPr>
          <w:p w14:paraId="6B370A87" w14:textId="77777777" w:rsidR="000B7282" w:rsidRPr="00EE0E9C" w:rsidRDefault="000B7282" w:rsidP="00413976">
            <w:pPr>
              <w:spacing w:line="360" w:lineRule="auto"/>
              <w:rPr>
                <w:rFonts w:asciiTheme="majorBidi" w:hAnsiTheme="majorBidi" w:cstheme="majorBidi"/>
                <w:b/>
                <w:bCs/>
              </w:rPr>
            </w:pPr>
            <w:r w:rsidRPr="00EE0E9C">
              <w:rPr>
                <w:rFonts w:asciiTheme="majorBidi" w:hAnsiTheme="majorBidi" w:cstheme="majorBidi"/>
                <w:b/>
                <w:bCs/>
              </w:rPr>
              <w:t>6'</w:t>
            </w:r>
          </w:p>
        </w:tc>
        <w:tc>
          <w:tcPr>
            <w:tcW w:w="1659" w:type="dxa"/>
          </w:tcPr>
          <w:p w14:paraId="399BD6A7"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w:t>
            </w:r>
          </w:p>
        </w:tc>
        <w:tc>
          <w:tcPr>
            <w:tcW w:w="1659" w:type="dxa"/>
          </w:tcPr>
          <w:p w14:paraId="2A869704"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153.78</w:t>
            </w:r>
          </w:p>
        </w:tc>
        <w:tc>
          <w:tcPr>
            <w:tcW w:w="1659" w:type="dxa"/>
          </w:tcPr>
          <w:p w14:paraId="085C3FD6"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w:t>
            </w:r>
          </w:p>
        </w:tc>
        <w:tc>
          <w:tcPr>
            <w:tcW w:w="1660" w:type="dxa"/>
          </w:tcPr>
          <w:p w14:paraId="56099DE0"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154.23</w:t>
            </w:r>
          </w:p>
        </w:tc>
      </w:tr>
      <w:tr w:rsidR="000B7282" w:rsidRPr="00EE0E9C" w14:paraId="01310A9E" w14:textId="77777777" w:rsidTr="00413976">
        <w:tc>
          <w:tcPr>
            <w:tcW w:w="1659" w:type="dxa"/>
          </w:tcPr>
          <w:p w14:paraId="2C6DE3EF" w14:textId="77777777" w:rsidR="000B7282" w:rsidRPr="00EE0E9C" w:rsidRDefault="000B7282" w:rsidP="00413976">
            <w:pPr>
              <w:spacing w:line="360" w:lineRule="auto"/>
              <w:rPr>
                <w:rFonts w:asciiTheme="majorBidi" w:hAnsiTheme="majorBidi" w:cstheme="majorBidi"/>
                <w:b/>
                <w:bCs/>
              </w:rPr>
            </w:pPr>
            <w:r w:rsidRPr="00EE0E9C">
              <w:rPr>
                <w:rFonts w:asciiTheme="majorBidi" w:hAnsiTheme="majorBidi" w:cstheme="majorBidi"/>
                <w:b/>
                <w:bCs/>
              </w:rPr>
              <w:t>1''</w:t>
            </w:r>
          </w:p>
        </w:tc>
        <w:tc>
          <w:tcPr>
            <w:tcW w:w="1659" w:type="dxa"/>
          </w:tcPr>
          <w:p w14:paraId="0ECE08B7"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2.43</w:t>
            </w:r>
          </w:p>
        </w:tc>
        <w:tc>
          <w:tcPr>
            <w:tcW w:w="1659" w:type="dxa"/>
          </w:tcPr>
          <w:p w14:paraId="11311380"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35.44</w:t>
            </w:r>
          </w:p>
        </w:tc>
        <w:tc>
          <w:tcPr>
            <w:tcW w:w="1659" w:type="dxa"/>
          </w:tcPr>
          <w:p w14:paraId="22C5BFC3"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2.45</w:t>
            </w:r>
          </w:p>
        </w:tc>
        <w:tc>
          <w:tcPr>
            <w:tcW w:w="1660" w:type="dxa"/>
          </w:tcPr>
          <w:p w14:paraId="175A6067"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35.49</w:t>
            </w:r>
          </w:p>
        </w:tc>
      </w:tr>
      <w:tr w:rsidR="000B7282" w:rsidRPr="00EE0E9C" w14:paraId="16E49F8B" w14:textId="77777777" w:rsidTr="00413976">
        <w:tc>
          <w:tcPr>
            <w:tcW w:w="1659" w:type="dxa"/>
          </w:tcPr>
          <w:p w14:paraId="5170EF8B" w14:textId="77777777" w:rsidR="000B7282" w:rsidRPr="00EE0E9C" w:rsidRDefault="000B7282" w:rsidP="00413976">
            <w:pPr>
              <w:spacing w:line="360" w:lineRule="auto"/>
              <w:rPr>
                <w:rFonts w:asciiTheme="majorBidi" w:hAnsiTheme="majorBidi" w:cstheme="majorBidi"/>
                <w:b/>
                <w:bCs/>
              </w:rPr>
            </w:pPr>
            <w:r w:rsidRPr="00EE0E9C">
              <w:rPr>
                <w:rFonts w:asciiTheme="majorBidi" w:hAnsiTheme="majorBidi" w:cstheme="majorBidi"/>
                <w:b/>
                <w:bCs/>
              </w:rPr>
              <w:t>2''</w:t>
            </w:r>
          </w:p>
        </w:tc>
        <w:tc>
          <w:tcPr>
            <w:tcW w:w="1659" w:type="dxa"/>
          </w:tcPr>
          <w:p w14:paraId="74A27E69"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1.55</w:t>
            </w:r>
          </w:p>
        </w:tc>
        <w:tc>
          <w:tcPr>
            <w:tcW w:w="1659" w:type="dxa"/>
          </w:tcPr>
          <w:p w14:paraId="18D8826D"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30.69</w:t>
            </w:r>
          </w:p>
        </w:tc>
        <w:tc>
          <w:tcPr>
            <w:tcW w:w="1659" w:type="dxa"/>
          </w:tcPr>
          <w:p w14:paraId="451041E0"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1.57</w:t>
            </w:r>
          </w:p>
        </w:tc>
        <w:tc>
          <w:tcPr>
            <w:tcW w:w="1660" w:type="dxa"/>
          </w:tcPr>
          <w:p w14:paraId="1BBC03A5"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30.74</w:t>
            </w:r>
          </w:p>
        </w:tc>
      </w:tr>
      <w:tr w:rsidR="000B7282" w:rsidRPr="00EE0E9C" w14:paraId="2EA99E9C" w14:textId="77777777" w:rsidTr="00413976">
        <w:tc>
          <w:tcPr>
            <w:tcW w:w="1659" w:type="dxa"/>
          </w:tcPr>
          <w:p w14:paraId="5BC95FBA" w14:textId="77777777" w:rsidR="000B7282" w:rsidRPr="00EE0E9C" w:rsidRDefault="000B7282" w:rsidP="00413976">
            <w:pPr>
              <w:spacing w:line="360" w:lineRule="auto"/>
              <w:rPr>
                <w:rFonts w:asciiTheme="majorBidi" w:hAnsiTheme="majorBidi" w:cstheme="majorBidi"/>
                <w:b/>
                <w:bCs/>
              </w:rPr>
            </w:pPr>
            <w:r w:rsidRPr="00EE0E9C">
              <w:rPr>
                <w:rFonts w:asciiTheme="majorBidi" w:hAnsiTheme="majorBidi" w:cstheme="majorBidi"/>
                <w:b/>
                <w:bCs/>
              </w:rPr>
              <w:t>3''</w:t>
            </w:r>
          </w:p>
        </w:tc>
        <w:tc>
          <w:tcPr>
            <w:tcW w:w="1659" w:type="dxa"/>
          </w:tcPr>
          <w:p w14:paraId="576A404E"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1.27</w:t>
            </w:r>
          </w:p>
        </w:tc>
        <w:tc>
          <w:tcPr>
            <w:tcW w:w="1659" w:type="dxa"/>
          </w:tcPr>
          <w:p w14:paraId="2231D318"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31.46</w:t>
            </w:r>
          </w:p>
        </w:tc>
        <w:tc>
          <w:tcPr>
            <w:tcW w:w="1659" w:type="dxa"/>
          </w:tcPr>
          <w:p w14:paraId="6C7C02A1"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1.29</w:t>
            </w:r>
          </w:p>
        </w:tc>
        <w:tc>
          <w:tcPr>
            <w:tcW w:w="1660" w:type="dxa"/>
          </w:tcPr>
          <w:p w14:paraId="6C7DBC31"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31.52</w:t>
            </w:r>
          </w:p>
        </w:tc>
      </w:tr>
      <w:tr w:rsidR="000B7282" w:rsidRPr="00EE0E9C" w14:paraId="3ABA1F98" w14:textId="77777777" w:rsidTr="00413976">
        <w:tc>
          <w:tcPr>
            <w:tcW w:w="1659" w:type="dxa"/>
          </w:tcPr>
          <w:p w14:paraId="3C36956C" w14:textId="77777777" w:rsidR="000B7282" w:rsidRPr="00EE0E9C" w:rsidRDefault="000B7282" w:rsidP="00413976">
            <w:pPr>
              <w:spacing w:line="360" w:lineRule="auto"/>
              <w:rPr>
                <w:rFonts w:asciiTheme="majorBidi" w:hAnsiTheme="majorBidi" w:cstheme="majorBidi"/>
                <w:b/>
                <w:bCs/>
              </w:rPr>
            </w:pPr>
            <w:r w:rsidRPr="00EE0E9C">
              <w:rPr>
                <w:rFonts w:asciiTheme="majorBidi" w:hAnsiTheme="majorBidi" w:cstheme="majorBidi"/>
                <w:b/>
                <w:bCs/>
              </w:rPr>
              <w:t>4''</w:t>
            </w:r>
          </w:p>
        </w:tc>
        <w:tc>
          <w:tcPr>
            <w:tcW w:w="1659" w:type="dxa"/>
          </w:tcPr>
          <w:p w14:paraId="150F2668"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1.30</w:t>
            </w:r>
          </w:p>
        </w:tc>
        <w:tc>
          <w:tcPr>
            <w:tcW w:w="1659" w:type="dxa"/>
          </w:tcPr>
          <w:p w14:paraId="014112EA"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22.55</w:t>
            </w:r>
          </w:p>
        </w:tc>
        <w:tc>
          <w:tcPr>
            <w:tcW w:w="1659" w:type="dxa"/>
          </w:tcPr>
          <w:p w14:paraId="387F5826"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1.31</w:t>
            </w:r>
          </w:p>
        </w:tc>
        <w:tc>
          <w:tcPr>
            <w:tcW w:w="1660" w:type="dxa"/>
          </w:tcPr>
          <w:p w14:paraId="08658C0A"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22.56</w:t>
            </w:r>
          </w:p>
        </w:tc>
      </w:tr>
      <w:tr w:rsidR="000B7282" w:rsidRPr="00EE0E9C" w14:paraId="03A943D6" w14:textId="77777777" w:rsidTr="00413976">
        <w:tc>
          <w:tcPr>
            <w:tcW w:w="1659" w:type="dxa"/>
            <w:tcBorders>
              <w:bottom w:val="single" w:sz="4" w:space="0" w:color="auto"/>
            </w:tcBorders>
          </w:tcPr>
          <w:p w14:paraId="115ADA65" w14:textId="77777777" w:rsidR="000B7282" w:rsidRPr="00EE0E9C" w:rsidRDefault="000B7282" w:rsidP="00413976">
            <w:pPr>
              <w:spacing w:line="360" w:lineRule="auto"/>
              <w:rPr>
                <w:rFonts w:asciiTheme="majorBidi" w:hAnsiTheme="majorBidi" w:cstheme="majorBidi"/>
                <w:b/>
                <w:bCs/>
              </w:rPr>
            </w:pPr>
            <w:r w:rsidRPr="00EE0E9C">
              <w:rPr>
                <w:rFonts w:asciiTheme="majorBidi" w:hAnsiTheme="majorBidi" w:cstheme="majorBidi"/>
                <w:b/>
                <w:bCs/>
              </w:rPr>
              <w:t>5''</w:t>
            </w:r>
          </w:p>
        </w:tc>
        <w:tc>
          <w:tcPr>
            <w:tcW w:w="1659" w:type="dxa"/>
            <w:tcBorders>
              <w:bottom w:val="single" w:sz="4" w:space="0" w:color="auto"/>
            </w:tcBorders>
          </w:tcPr>
          <w:p w14:paraId="657915CD"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0.87</w:t>
            </w:r>
          </w:p>
        </w:tc>
        <w:tc>
          <w:tcPr>
            <w:tcW w:w="1659" w:type="dxa"/>
            <w:tcBorders>
              <w:bottom w:val="single" w:sz="4" w:space="0" w:color="auto"/>
            </w:tcBorders>
          </w:tcPr>
          <w:p w14:paraId="714653C1"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14.09</w:t>
            </w:r>
          </w:p>
        </w:tc>
        <w:tc>
          <w:tcPr>
            <w:tcW w:w="1659" w:type="dxa"/>
            <w:tcBorders>
              <w:bottom w:val="single" w:sz="4" w:space="0" w:color="auto"/>
            </w:tcBorders>
          </w:tcPr>
          <w:p w14:paraId="3207FDBD"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0.88</w:t>
            </w:r>
          </w:p>
        </w:tc>
        <w:tc>
          <w:tcPr>
            <w:tcW w:w="1660" w:type="dxa"/>
            <w:tcBorders>
              <w:bottom w:val="single" w:sz="4" w:space="0" w:color="auto"/>
            </w:tcBorders>
          </w:tcPr>
          <w:p w14:paraId="779E016A" w14:textId="77777777" w:rsidR="000B7282" w:rsidRPr="00EE0E9C" w:rsidRDefault="000B7282" w:rsidP="00413976">
            <w:pPr>
              <w:spacing w:line="360" w:lineRule="auto"/>
              <w:rPr>
                <w:rFonts w:asciiTheme="majorBidi" w:hAnsiTheme="majorBidi" w:cstheme="majorBidi"/>
              </w:rPr>
            </w:pPr>
            <w:r w:rsidRPr="00EE0E9C">
              <w:rPr>
                <w:rFonts w:asciiTheme="majorBidi" w:hAnsiTheme="majorBidi" w:cstheme="majorBidi"/>
              </w:rPr>
              <w:t>14.08</w:t>
            </w:r>
          </w:p>
        </w:tc>
      </w:tr>
    </w:tbl>
    <w:p w14:paraId="309EFA31" w14:textId="0F9C13D4" w:rsidR="006639DD" w:rsidRPr="000B7282" w:rsidRDefault="000B7282" w:rsidP="000B7282">
      <w:r w:rsidRPr="00C35242">
        <w:rPr>
          <w:rFonts w:asciiTheme="majorBidi" w:hAnsiTheme="majorBidi" w:cstheme="majorBidi"/>
          <w:vertAlign w:val="superscript"/>
        </w:rPr>
        <w:t>a</w:t>
      </w:r>
      <w:r>
        <w:rPr>
          <w:rFonts w:asciiTheme="majorBidi" w:hAnsiTheme="majorBidi" w:cstheme="majorBidi"/>
        </w:rPr>
        <w:t xml:space="preserve"> P</w:t>
      </w:r>
      <w:r w:rsidRPr="00C35242">
        <w:rPr>
          <w:rFonts w:asciiTheme="majorBidi" w:hAnsiTheme="majorBidi" w:cstheme="majorBidi"/>
        </w:rPr>
        <w:t xml:space="preserve">eak assignments are in close agreement with the literature </w:t>
      </w:r>
      <w:r w:rsidRPr="00C35242">
        <w:rPr>
          <w:rFonts w:asciiTheme="majorBidi" w:hAnsiTheme="majorBidi" w:cstheme="majorBidi"/>
        </w:rPr>
        <w:fldChar w:fldCharType="begin" w:fldLock="1"/>
      </w:r>
      <w:r>
        <w:rPr>
          <w:rFonts w:asciiTheme="majorBidi" w:hAnsiTheme="majorBidi" w:cstheme="majorBidi"/>
        </w:rPr>
        <w:instrText>ADDIN CSL_CITATION {"citationItems":[{"id":"ITEM-1","itemData":{"DOI":"10.3390/molecules24061138","ISSN":"14203049","PMID":"30909372","abstract":"Cannabis sativa L. is a dioecious plant belonging to the Cannabaceae family. The discovery of the presence of many biologically-active metabolites (cannabinoids) in fibre-type Cannabis (hemp) has recently given rise to the valorisation of this variety. In this context, the present study was aimed at the multi-component analysis and determination of the main non-psychoactive cannabinoids (cannabidiol, cannabidiolic acid, cannabigerol and cannabigerolic acid) in female inflorescences of different hemp varieties by means of 13C quantitative nuclear magnetic resonance spectroscopy (qNMR). The method proposed here for the first time for the determination of cannabinoids provided reliable results in a competitive time with respect to the more consolidated HPLC technique. In fact, it gave sufficiently precise and sensitive results, with LOQ values lower than 750 µg/mL, which is easily achievable with concentrated extracts, without affecting the quality of 13C-qNMR spectra. In conclusion, this method can be considered as a promising and appropriate tool for the comprehensive chemical analysis of bioactive cannabinoids in hemp and other derived products in order to ensure their quality, efficacy and safety.","author":[{"dropping-particle":"","family":"Marchetti","given":"Lucia","non-dropping-particle":"","parse-names":false,"suffix":""},{"dropping-particle":"","family":"Brighenti","given":"Virginia","non-dropping-particle":"","parse-names":false,"suffix":""},{"dropping-particle":"","family":"Rossi","given":"Maria Cecilia","non-dropping-particle":"","parse-names":false,"suffix":""},{"dropping-particle":"","family":"Sperlea","given":"Johanna","non-dropping-particle":"","parse-names":false,"suffix":""},{"dropping-particle":"","family":"Pellati","given":"Federica","non-dropping-particle":"","parse-names":false,"suffix":""},{"dropping-particle":"","family":"Bertelli","given":"Davide","non-dropping-particle":"","parse-names":false,"suffix":""}],"container-title":"Molecules","id":"ITEM-1","issue":"6","issued":{"date-parts":[["2019","3","22"]]},"publisher":"MDPI AG","title":"Use of 13C-qNMR Spectroscopy for the Analysis of Non-Psychoactive Cannabinoids in Fibre-Type Cannabis sativa L. (Hemp)","type":"article-journal","volume":"24"},"uris":["http://www.mendeley.com/documents/?uuid=72966f51-cb2c-38c9-821a-3bca10cbeb01"]}],"mendeley":{"formattedCitation":"(&lt;i&gt;33&lt;/i&gt;)","plainTextFormattedCitation":"(33)","previouslyFormattedCitation":"(&lt;i&gt;33&lt;/i&gt;)"},"properties":{"noteIndex":0},"schema":"https://github.com/citation-style-language/schema/raw/master/csl-citation.json"}</w:instrText>
      </w:r>
      <w:r w:rsidRPr="00C35242">
        <w:rPr>
          <w:rFonts w:asciiTheme="majorBidi" w:hAnsiTheme="majorBidi" w:cstheme="majorBidi"/>
        </w:rPr>
        <w:fldChar w:fldCharType="separate"/>
      </w:r>
      <w:r w:rsidRPr="00B03896">
        <w:rPr>
          <w:rFonts w:asciiTheme="majorBidi" w:hAnsiTheme="majorBidi" w:cstheme="majorBidi"/>
          <w:noProof/>
        </w:rPr>
        <w:t>(</w:t>
      </w:r>
      <w:r w:rsidRPr="00B03896">
        <w:rPr>
          <w:rFonts w:asciiTheme="majorBidi" w:hAnsiTheme="majorBidi" w:cstheme="majorBidi"/>
          <w:i/>
          <w:noProof/>
        </w:rPr>
        <w:t>33</w:t>
      </w:r>
      <w:r w:rsidRPr="00B03896">
        <w:rPr>
          <w:rFonts w:asciiTheme="majorBidi" w:hAnsiTheme="majorBidi" w:cstheme="majorBidi"/>
          <w:noProof/>
        </w:rPr>
        <w:t>)</w:t>
      </w:r>
      <w:r w:rsidRPr="00C35242">
        <w:rPr>
          <w:rFonts w:asciiTheme="majorBidi" w:hAnsiTheme="majorBidi" w:cstheme="majorBidi"/>
        </w:rPr>
        <w:fldChar w:fldCharType="end"/>
      </w:r>
      <w:r w:rsidRPr="00C35242">
        <w:rPr>
          <w:rFonts w:asciiTheme="majorBidi" w:hAnsiTheme="majorBidi" w:cstheme="majorBidi"/>
        </w:rPr>
        <w:t>.</w:t>
      </w:r>
    </w:p>
    <w:sectPr w:rsidR="006639DD" w:rsidRPr="000B7282" w:rsidSect="00E66529">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29"/>
    <w:rsid w:val="00063D2D"/>
    <w:rsid w:val="00094E8A"/>
    <w:rsid w:val="000B7282"/>
    <w:rsid w:val="00430E83"/>
    <w:rsid w:val="004C540F"/>
    <w:rsid w:val="006639DD"/>
    <w:rsid w:val="006F4E92"/>
    <w:rsid w:val="0082692A"/>
    <w:rsid w:val="008C66F3"/>
    <w:rsid w:val="009638EC"/>
    <w:rsid w:val="00C858E0"/>
    <w:rsid w:val="00E66529"/>
    <w:rsid w:val="00EB46E5"/>
    <w:rsid w:val="00EE0E9C"/>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F789"/>
  <w15:chartTrackingRefBased/>
  <w15:docId w15:val="{67E05CEF-F178-4F6C-A739-13FF02E30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529"/>
    <w:pPr>
      <w:spacing w:after="0" w:line="240" w:lineRule="auto"/>
    </w:pPr>
    <w:rPr>
      <w:rFonts w:ascii="Times New Roman" w:eastAsia="Calibri" w:hAnsi="Times New Roman" w:cs="Times New Roman"/>
      <w:sz w:val="20"/>
      <w:szCs w:val="20"/>
      <w:lang w:val="en-US" w:bidi="ar-SA"/>
    </w:rPr>
  </w:style>
  <w:style w:type="paragraph" w:styleId="Heading1">
    <w:name w:val="heading 1"/>
    <w:basedOn w:val="Normal"/>
    <w:next w:val="Normal"/>
    <w:link w:val="Heading1Char"/>
    <w:uiPriority w:val="9"/>
    <w:qFormat/>
    <w:rsid w:val="00E6652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Heading">
    <w:name w:val="SM Heading"/>
    <w:basedOn w:val="Heading1"/>
    <w:qFormat/>
    <w:rsid w:val="00E66529"/>
    <w:pPr>
      <w:keepLines w:val="0"/>
      <w:spacing w:after="60"/>
    </w:pPr>
    <w:rPr>
      <w:rFonts w:ascii="Times New Roman" w:eastAsia="Times New Roman" w:hAnsi="Times New Roman" w:cs="Times New Roman"/>
      <w:b/>
      <w:bCs/>
      <w:color w:val="auto"/>
      <w:kern w:val="32"/>
      <w:sz w:val="24"/>
      <w:szCs w:val="24"/>
    </w:rPr>
  </w:style>
  <w:style w:type="character" w:customStyle="1" w:styleId="Heading1Char">
    <w:name w:val="Heading 1 Char"/>
    <w:basedOn w:val="DefaultParagraphFont"/>
    <w:link w:val="Heading1"/>
    <w:uiPriority w:val="9"/>
    <w:rsid w:val="00E66529"/>
    <w:rPr>
      <w:rFonts w:asciiTheme="majorHAnsi" w:eastAsiaTheme="majorEastAsia" w:hAnsiTheme="majorHAnsi" w:cstheme="majorBidi"/>
      <w:color w:val="2F5496" w:themeColor="accent1" w:themeShade="BF"/>
      <w:sz w:val="32"/>
      <w:szCs w:val="32"/>
      <w:lang w:val="en-US" w:bidi="ar-SA"/>
    </w:rPr>
  </w:style>
  <w:style w:type="table" w:styleId="TableGrid">
    <w:name w:val="Table Grid"/>
    <w:basedOn w:val="TableNormal"/>
    <w:uiPriority w:val="39"/>
    <w:rsid w:val="009638EC"/>
    <w:pPr>
      <w:spacing w:after="0" w:line="240" w:lineRule="auto"/>
    </w:pPr>
    <w:rPr>
      <w:rFonts w:ascii="Times" w:eastAsia="Times New Roman" w:hAnsi="Times" w:cs="Times New Roman"/>
      <w:sz w:val="20"/>
      <w:szCs w:val="20"/>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530</Words>
  <Characters>3022</Characters>
  <Application>Microsoft Office Word</Application>
  <DocSecurity>0</DocSecurity>
  <Lines>25</Lines>
  <Paragraphs>7</Paragraphs>
  <ScaleCrop>false</ScaleCrop>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Shiri Procaccia</dc:creator>
  <cp:keywords/>
  <dc:description/>
  <cp:lastModifiedBy>Shiri Procaccia</cp:lastModifiedBy>
  <cp:revision>5</cp:revision>
  <dcterms:created xsi:type="dcterms:W3CDTF">2024-04-09T08:56:00Z</dcterms:created>
  <dcterms:modified xsi:type="dcterms:W3CDTF">2024-04-09T08:59:00Z</dcterms:modified>
</cp:coreProperties>
</file>