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DD2" w:rsidRPr="00F432CC" w:rsidRDefault="00185DD2" w:rsidP="00185DD2">
      <w:pPr>
        <w:pStyle w:val="Formatvorlage1"/>
        <w:numPr>
          <w:ilvl w:val="0"/>
          <w:numId w:val="0"/>
        </w:numPr>
      </w:pPr>
      <w:r w:rsidRPr="00F432CC">
        <w:t>Supplementary material</w:t>
      </w:r>
    </w:p>
    <w:p w:rsidR="00D80226" w:rsidRPr="00F432CC" w:rsidRDefault="00D80226" w:rsidP="00185DD2">
      <w:pPr>
        <w:pStyle w:val="Formatvorlage1"/>
        <w:numPr>
          <w:ilvl w:val="0"/>
          <w:numId w:val="0"/>
        </w:numPr>
      </w:pPr>
    </w:p>
    <w:p w:rsidR="00185DD2" w:rsidRPr="00F432CC" w:rsidRDefault="00B577EF" w:rsidP="00185DD2">
      <w:pPr>
        <w:spacing w:line="480" w:lineRule="auto"/>
        <w:jc w:val="center"/>
        <w:rPr>
          <w:rFonts w:ascii="Georgia" w:hAnsi="Georgia"/>
          <w:sz w:val="24"/>
          <w:szCs w:val="24"/>
          <w:lang w:val="en-US"/>
        </w:rPr>
      </w:pPr>
      <w:r w:rsidRPr="00F432CC">
        <w:rPr>
          <w:rFonts w:ascii="Georgia" w:hAnsi="Georgia"/>
          <w:noProof/>
          <w:sz w:val="24"/>
          <w:szCs w:val="24"/>
          <w:lang w:val="en-US"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pt;height:379.2pt;mso-width-percent:0;mso-height-percent:0;mso-width-percent:0;mso-height-percent:0">
            <v:imagedata r:id="rId7" o:title="Fig2_suppl1"/>
          </v:shape>
        </w:pict>
      </w:r>
    </w:p>
    <w:p w:rsidR="00D80226" w:rsidRPr="00F432CC" w:rsidRDefault="00185DD2" w:rsidP="00D80226">
      <w:pPr>
        <w:spacing w:line="480" w:lineRule="auto"/>
        <w:jc w:val="both"/>
        <w:rPr>
          <w:rFonts w:ascii="Georgia" w:hAnsi="Georgia"/>
          <w:sz w:val="20"/>
          <w:szCs w:val="20"/>
          <w:lang w:val="en-US"/>
        </w:rPr>
      </w:pPr>
      <w:r w:rsidRPr="00F432CC">
        <w:rPr>
          <w:rFonts w:ascii="Georgia" w:hAnsi="Georgia"/>
          <w:sz w:val="18"/>
          <w:szCs w:val="18"/>
          <w:lang w:val="en-US"/>
        </w:rPr>
        <w:t>Fig</w:t>
      </w:r>
      <w:r w:rsidR="00E87FB8" w:rsidRPr="00F432CC">
        <w:rPr>
          <w:rFonts w:ascii="Georgia" w:hAnsi="Georgia"/>
          <w:sz w:val="18"/>
          <w:szCs w:val="18"/>
          <w:lang w:val="en-US"/>
        </w:rPr>
        <w:t>ure</w:t>
      </w:r>
      <w:r w:rsidRPr="00F432CC">
        <w:rPr>
          <w:rFonts w:ascii="Georgia" w:hAnsi="Georgia"/>
          <w:sz w:val="18"/>
          <w:szCs w:val="18"/>
          <w:lang w:val="en-US"/>
        </w:rPr>
        <w:t xml:space="preserve"> 2 – </w:t>
      </w:r>
      <w:r w:rsidR="00E87FB8" w:rsidRPr="00F432CC">
        <w:rPr>
          <w:rFonts w:ascii="Georgia" w:hAnsi="Georgia"/>
          <w:sz w:val="18"/>
          <w:szCs w:val="18"/>
          <w:lang w:val="en-US"/>
        </w:rPr>
        <w:t xml:space="preserve">figure </w:t>
      </w:r>
      <w:r w:rsidRPr="00F432CC">
        <w:rPr>
          <w:rFonts w:ascii="Georgia" w:hAnsi="Georgia"/>
          <w:sz w:val="18"/>
          <w:szCs w:val="18"/>
          <w:lang w:val="en-US"/>
        </w:rPr>
        <w:t xml:space="preserve">supplement 1. Results of the narrative-insight task (NIT). </w:t>
      </w:r>
      <w:r w:rsidRPr="00F432CC">
        <w:rPr>
          <w:rFonts w:ascii="Georgia" w:hAnsi="Georgia"/>
          <w:b/>
          <w:sz w:val="18"/>
          <w:szCs w:val="18"/>
          <w:lang w:val="en-US"/>
        </w:rPr>
        <w:t>A</w:t>
      </w:r>
      <w:r w:rsidRPr="00F432CC">
        <w:rPr>
          <w:rFonts w:ascii="Georgia" w:hAnsi="Georgia"/>
          <w:sz w:val="18"/>
          <w:szCs w:val="18"/>
          <w:lang w:val="en-US"/>
        </w:rPr>
        <w:t xml:space="preserve">, Significant increases in ratings for linked events from the pre- to the post-phase for both, the sham and the cTBS groups. There were no significant group differences. </w:t>
      </w:r>
      <w:r w:rsidRPr="00F432CC">
        <w:rPr>
          <w:rFonts w:ascii="Georgia" w:hAnsi="Georgia"/>
          <w:b/>
          <w:sz w:val="18"/>
          <w:szCs w:val="18"/>
          <w:lang w:val="en-US"/>
        </w:rPr>
        <w:t>B</w:t>
      </w:r>
      <w:r w:rsidRPr="00F432CC">
        <w:rPr>
          <w:rFonts w:ascii="Georgia" w:hAnsi="Georgia"/>
          <w:sz w:val="18"/>
          <w:szCs w:val="18"/>
          <w:lang w:val="en-US"/>
        </w:rPr>
        <w:t>, Significant decreases in ratings for non-linked events from the pre- to the post-phase for both, the sham and the cTBS groups. There were no significant group differences.</w:t>
      </w:r>
      <w:r w:rsidR="002F00FC" w:rsidRPr="00F432CC">
        <w:rPr>
          <w:rFonts w:ascii="Georgia" w:hAnsi="Georgia"/>
          <w:sz w:val="18"/>
          <w:szCs w:val="18"/>
          <w:lang w:val="en-US"/>
        </w:rPr>
        <w:t xml:space="preserve"> Boxplots show the median link ratings for each group at each time point. Boxplot whiskers extend to the minimum or maximum value within 1.5 times the interquartile range. Points within the boxplot indicate individual data points in each group. Density plots indicate data distribution per group and time. </w:t>
      </w:r>
      <w:r w:rsidR="00DC5E6E" w:rsidRPr="00F432CC">
        <w:rPr>
          <w:rFonts w:ascii="Georgia" w:hAnsi="Georgia"/>
          <w:sz w:val="18"/>
          <w:szCs w:val="18"/>
          <w:lang w:val="en-US"/>
        </w:rPr>
        <w:t>Statistical differences stem from pairwise post-hoc tests of marginal means.</w:t>
      </w:r>
      <w:r w:rsidRPr="00F432CC">
        <w:rPr>
          <w:rFonts w:ascii="Georgia" w:hAnsi="Georgia"/>
          <w:sz w:val="18"/>
          <w:szCs w:val="18"/>
          <w:lang w:val="en-US"/>
        </w:rPr>
        <w:t xml:space="preserve"> </w:t>
      </w:r>
      <w:r w:rsidR="00D80226" w:rsidRPr="00F432CC">
        <w:rPr>
          <w:rFonts w:ascii="Georgia" w:hAnsi="Georgia"/>
          <w:sz w:val="18"/>
          <w:szCs w:val="18"/>
          <w:lang w:val="en-US"/>
        </w:rPr>
        <w:t>***</w:t>
      </w:r>
      <w:r w:rsidR="00D80226" w:rsidRPr="00F432CC">
        <w:rPr>
          <w:rFonts w:ascii="Georgia" w:hAnsi="Georgia"/>
          <w:i/>
          <w:sz w:val="18"/>
          <w:szCs w:val="18"/>
          <w:lang w:val="en-US"/>
        </w:rPr>
        <w:t>p</w:t>
      </w:r>
      <w:r w:rsidR="00D80226" w:rsidRPr="00F432CC">
        <w:rPr>
          <w:rFonts w:ascii="Georgia" w:hAnsi="Georgia"/>
          <w:sz w:val="18"/>
          <w:szCs w:val="18"/>
          <w:lang w:val="en-US"/>
        </w:rPr>
        <w:t xml:space="preserve"> &lt; .001.</w:t>
      </w:r>
    </w:p>
    <w:p w:rsidR="00185DD2" w:rsidRPr="00F432CC" w:rsidRDefault="00185DD2" w:rsidP="00185DD2">
      <w:pPr>
        <w:spacing w:line="480" w:lineRule="auto"/>
        <w:jc w:val="both"/>
        <w:rPr>
          <w:rFonts w:ascii="Georgia" w:hAnsi="Georgia"/>
          <w:sz w:val="18"/>
          <w:szCs w:val="18"/>
          <w:lang w:val="en-US"/>
        </w:rPr>
      </w:pPr>
    </w:p>
    <w:p w:rsidR="00185DD2" w:rsidRPr="00F432CC" w:rsidRDefault="00185DD2" w:rsidP="00185DD2">
      <w:pPr>
        <w:spacing w:line="480" w:lineRule="auto"/>
        <w:jc w:val="both"/>
        <w:rPr>
          <w:rFonts w:ascii="Georgia" w:hAnsi="Georgia"/>
          <w:sz w:val="18"/>
          <w:szCs w:val="18"/>
          <w:lang w:val="en-US"/>
        </w:rPr>
      </w:pPr>
    </w:p>
    <w:p w:rsidR="00185DD2" w:rsidRPr="00F432CC" w:rsidRDefault="00B577EF" w:rsidP="00185DD2">
      <w:pPr>
        <w:spacing w:line="480" w:lineRule="auto"/>
        <w:jc w:val="center"/>
        <w:rPr>
          <w:rFonts w:ascii="Georgia" w:hAnsi="Georgia"/>
          <w:sz w:val="18"/>
          <w:szCs w:val="18"/>
          <w:lang w:val="en-US"/>
        </w:rPr>
      </w:pPr>
      <w:r w:rsidRPr="00F432CC">
        <w:rPr>
          <w:rFonts w:ascii="Georgia" w:hAnsi="Georgia"/>
          <w:noProof/>
          <w:sz w:val="18"/>
          <w:szCs w:val="18"/>
          <w:lang w:eastAsia="de-DE"/>
        </w:rPr>
        <w:lastRenderedPageBreak/>
        <w:pict>
          <v:shape id="_x0000_i1026" type="#_x0000_t75" alt="" style="width:453pt;height:227.4pt;mso-width-percent:0;mso-height-percent:0;mso-width-percent:0;mso-height-percent:0">
            <v:imagedata r:id="rId8" o:title="Fig_2_suppl2_new"/>
          </v:shape>
        </w:pict>
      </w:r>
    </w:p>
    <w:p w:rsidR="00185DD2" w:rsidRPr="00F432CC" w:rsidRDefault="00185DD2" w:rsidP="00185DD2">
      <w:pPr>
        <w:spacing w:line="480" w:lineRule="auto"/>
        <w:jc w:val="both"/>
        <w:rPr>
          <w:rFonts w:ascii="Georgia" w:hAnsi="Georgia"/>
          <w:sz w:val="18"/>
          <w:szCs w:val="18"/>
          <w:lang w:val="en-US"/>
        </w:rPr>
      </w:pPr>
      <w:r w:rsidRPr="00F432CC">
        <w:rPr>
          <w:rFonts w:ascii="Georgia" w:hAnsi="Georgia"/>
          <w:sz w:val="18"/>
          <w:szCs w:val="18"/>
          <w:lang w:val="en-US"/>
        </w:rPr>
        <w:t>Fig</w:t>
      </w:r>
      <w:r w:rsidR="00E87FB8" w:rsidRPr="00F432CC">
        <w:rPr>
          <w:rFonts w:ascii="Georgia" w:hAnsi="Georgia"/>
          <w:sz w:val="18"/>
          <w:szCs w:val="18"/>
          <w:lang w:val="en-US"/>
        </w:rPr>
        <w:t>ure</w:t>
      </w:r>
      <w:r w:rsidRPr="00F432CC">
        <w:rPr>
          <w:rFonts w:ascii="Georgia" w:hAnsi="Georgia"/>
          <w:sz w:val="18"/>
          <w:szCs w:val="18"/>
          <w:lang w:val="en-US"/>
        </w:rPr>
        <w:t xml:space="preserve"> 2 – </w:t>
      </w:r>
      <w:r w:rsidR="00E87FB8" w:rsidRPr="00F432CC">
        <w:rPr>
          <w:rFonts w:ascii="Georgia" w:hAnsi="Georgia"/>
          <w:sz w:val="18"/>
          <w:szCs w:val="18"/>
          <w:lang w:val="en-US"/>
        </w:rPr>
        <w:t xml:space="preserve">figure </w:t>
      </w:r>
      <w:r w:rsidRPr="00F432CC">
        <w:rPr>
          <w:rFonts w:ascii="Georgia" w:hAnsi="Georgia"/>
          <w:sz w:val="18"/>
          <w:szCs w:val="18"/>
          <w:lang w:val="en-US"/>
        </w:rPr>
        <w:t xml:space="preserve">supplement 2. Results of the multiple-arrangements task (MAT). </w:t>
      </w:r>
      <w:r w:rsidR="00D80226" w:rsidRPr="00F432CC">
        <w:rPr>
          <w:rFonts w:ascii="Georgia" w:hAnsi="Georgia"/>
          <w:sz w:val="18"/>
          <w:szCs w:val="18"/>
          <w:lang w:val="en-US"/>
        </w:rPr>
        <w:t>Both groups arranged linked events closer to each other than non-linked events, without differences between groups</w:t>
      </w:r>
      <w:r w:rsidRPr="00F432CC">
        <w:rPr>
          <w:rFonts w:ascii="Georgia" w:hAnsi="Georgia"/>
          <w:sz w:val="18"/>
          <w:szCs w:val="18"/>
          <w:lang w:val="en-US"/>
        </w:rPr>
        <w:t xml:space="preserve">. </w:t>
      </w:r>
      <w:r w:rsidR="002F00FC" w:rsidRPr="00F432CC">
        <w:rPr>
          <w:rFonts w:ascii="Georgia" w:hAnsi="Georgia"/>
          <w:sz w:val="18"/>
          <w:szCs w:val="18"/>
          <w:lang w:val="en-US"/>
        </w:rPr>
        <w:t>Boxplots show the median Euclidian distance for each group at each time point. Boxplot whiskers extend to the minimum or maximum value within 1.5 times the interquartile range. Points within the boxplot indicate individual data points in each group. Density plots indicate data distribution per group.</w:t>
      </w:r>
      <w:r w:rsidR="00DC5E6E" w:rsidRPr="00F432CC">
        <w:rPr>
          <w:rFonts w:ascii="Georgia" w:hAnsi="Georgia"/>
          <w:sz w:val="18"/>
          <w:szCs w:val="18"/>
          <w:lang w:val="en-US"/>
        </w:rPr>
        <w:t xml:space="preserve"> </w:t>
      </w:r>
    </w:p>
    <w:p w:rsidR="00185DD2" w:rsidRPr="00F432CC" w:rsidRDefault="00185DD2" w:rsidP="00185DD2">
      <w:pPr>
        <w:spacing w:line="480" w:lineRule="auto"/>
        <w:jc w:val="center"/>
        <w:rPr>
          <w:rFonts w:ascii="Georgia" w:hAnsi="Georgia"/>
          <w:sz w:val="18"/>
          <w:szCs w:val="18"/>
          <w:lang w:val="en-US"/>
        </w:rPr>
      </w:pPr>
      <w:r w:rsidRPr="00F432CC">
        <w:rPr>
          <w:rFonts w:ascii="Georgia" w:hAnsi="Georgia"/>
          <w:noProof/>
          <w:sz w:val="18"/>
          <w:szCs w:val="18"/>
          <w:lang w:eastAsia="de-DE"/>
        </w:rPr>
        <w:drawing>
          <wp:inline distT="0" distB="0" distL="0" distR="0">
            <wp:extent cx="3259455" cy="3107055"/>
            <wp:effectExtent l="0" t="0" r="0" b="0"/>
            <wp:docPr id="1" name="Grafik 1" descr="Fig2_supp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_suppl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455" cy="3107055"/>
                    </a:xfrm>
                    <a:prstGeom prst="rect">
                      <a:avLst/>
                    </a:prstGeom>
                    <a:noFill/>
                    <a:ln>
                      <a:noFill/>
                    </a:ln>
                  </pic:spPr>
                </pic:pic>
              </a:graphicData>
            </a:graphic>
          </wp:inline>
        </w:drawing>
      </w:r>
    </w:p>
    <w:p w:rsidR="00ED198B" w:rsidRPr="00F432CC" w:rsidRDefault="00D80226" w:rsidP="002F00FC">
      <w:pPr>
        <w:spacing w:line="480" w:lineRule="auto"/>
        <w:jc w:val="both"/>
        <w:rPr>
          <w:rFonts w:ascii="Georgia" w:hAnsi="Georgia"/>
          <w:sz w:val="18"/>
          <w:szCs w:val="18"/>
          <w:lang w:val="en-US"/>
        </w:rPr>
      </w:pPr>
      <w:r w:rsidRPr="00F432CC">
        <w:rPr>
          <w:rFonts w:ascii="Georgia" w:hAnsi="Georgia"/>
          <w:sz w:val="18"/>
          <w:szCs w:val="18"/>
          <w:lang w:val="en-US"/>
        </w:rPr>
        <w:t>Fig</w:t>
      </w:r>
      <w:r w:rsidR="00E87FB8" w:rsidRPr="00F432CC">
        <w:rPr>
          <w:rFonts w:ascii="Georgia" w:hAnsi="Georgia"/>
          <w:sz w:val="18"/>
          <w:szCs w:val="18"/>
          <w:lang w:val="en-US"/>
        </w:rPr>
        <w:t>ure</w:t>
      </w:r>
      <w:r w:rsidRPr="00F432CC">
        <w:rPr>
          <w:rFonts w:ascii="Georgia" w:hAnsi="Georgia"/>
          <w:sz w:val="18"/>
          <w:szCs w:val="18"/>
          <w:lang w:val="en-US"/>
        </w:rPr>
        <w:t xml:space="preserve"> 2 – </w:t>
      </w:r>
      <w:r w:rsidR="00E87FB8" w:rsidRPr="00F432CC">
        <w:rPr>
          <w:rFonts w:ascii="Georgia" w:hAnsi="Georgia"/>
          <w:sz w:val="18"/>
          <w:szCs w:val="18"/>
          <w:lang w:val="en-US"/>
        </w:rPr>
        <w:t xml:space="preserve">figure </w:t>
      </w:r>
      <w:r w:rsidRPr="00F432CC">
        <w:rPr>
          <w:rFonts w:ascii="Georgia" w:hAnsi="Georgia"/>
          <w:sz w:val="18"/>
          <w:szCs w:val="18"/>
          <w:lang w:val="en-US"/>
        </w:rPr>
        <w:t>supplement 3. Results of the forced-choice recognition task. Both groups performed very well in this task, without group differences</w:t>
      </w:r>
      <w:r w:rsidR="00185DD2" w:rsidRPr="00F432CC">
        <w:rPr>
          <w:rFonts w:ascii="Georgia" w:hAnsi="Georgia"/>
          <w:sz w:val="18"/>
          <w:szCs w:val="18"/>
          <w:lang w:val="en-US"/>
        </w:rPr>
        <w:t xml:space="preserve">. </w:t>
      </w:r>
      <w:r w:rsidR="002F00FC" w:rsidRPr="00F432CC">
        <w:rPr>
          <w:rFonts w:ascii="Georgia" w:hAnsi="Georgia"/>
          <w:sz w:val="18"/>
          <w:szCs w:val="18"/>
          <w:lang w:val="en-US"/>
        </w:rPr>
        <w:t>Boxplots show the median correct responses (%) for each group. Boxplot whiskers extend to the minimum or maximum value within 1.5 times the interquartile range. Points within the boxplot indicate individual data points in each group. Density plots indicate data distribution per group.</w:t>
      </w:r>
    </w:p>
    <w:p w:rsidR="0041322C" w:rsidRPr="00F432CC" w:rsidRDefault="00236FA7" w:rsidP="002F00FC">
      <w:pPr>
        <w:spacing w:line="480" w:lineRule="auto"/>
        <w:jc w:val="both"/>
        <w:rPr>
          <w:rFonts w:ascii="Georgia" w:hAnsi="Georgia"/>
          <w:sz w:val="18"/>
          <w:szCs w:val="18"/>
          <w:lang w:val="en-US"/>
        </w:rPr>
      </w:pPr>
      <w:r w:rsidRPr="00F432CC">
        <w:rPr>
          <w:rFonts w:ascii="Georgia" w:hAnsi="Georgia"/>
          <w:noProof/>
          <w:sz w:val="18"/>
          <w:szCs w:val="18"/>
          <w:lang w:eastAsia="de-DE"/>
        </w:rPr>
        <w:lastRenderedPageBreak/>
        <w:drawing>
          <wp:inline distT="0" distB="0" distL="0" distR="0">
            <wp:extent cx="5760720" cy="65582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w_RSA_Link.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558280"/>
                    </a:xfrm>
                    <a:prstGeom prst="rect">
                      <a:avLst/>
                    </a:prstGeom>
                  </pic:spPr>
                </pic:pic>
              </a:graphicData>
            </a:graphic>
          </wp:inline>
        </w:drawing>
      </w:r>
    </w:p>
    <w:p w:rsidR="0041322C" w:rsidRPr="00F432CC" w:rsidRDefault="0041322C" w:rsidP="0041322C">
      <w:pPr>
        <w:spacing w:line="480" w:lineRule="auto"/>
        <w:jc w:val="both"/>
        <w:rPr>
          <w:rFonts w:ascii="Georgia" w:hAnsi="Georgia"/>
          <w:sz w:val="18"/>
          <w:szCs w:val="18"/>
          <w:lang w:val="en-US"/>
        </w:rPr>
      </w:pPr>
      <w:r w:rsidRPr="00F432CC">
        <w:rPr>
          <w:rFonts w:ascii="Georgia" w:hAnsi="Georgia"/>
          <w:sz w:val="18"/>
          <w:szCs w:val="18"/>
          <w:lang w:val="en-US"/>
        </w:rPr>
        <w:t>Fig</w:t>
      </w:r>
      <w:r w:rsidR="00E87FB8" w:rsidRPr="00F432CC">
        <w:rPr>
          <w:rFonts w:ascii="Georgia" w:hAnsi="Georgia"/>
          <w:sz w:val="18"/>
          <w:szCs w:val="18"/>
          <w:lang w:val="en-US"/>
        </w:rPr>
        <w:t>ure</w:t>
      </w:r>
      <w:r w:rsidRPr="00F432CC">
        <w:rPr>
          <w:rFonts w:ascii="Georgia" w:hAnsi="Georgia"/>
          <w:sz w:val="18"/>
          <w:szCs w:val="18"/>
          <w:lang w:val="en-US"/>
        </w:rPr>
        <w:t xml:space="preserve"> 3 – </w:t>
      </w:r>
      <w:r w:rsidR="00E87FB8" w:rsidRPr="00F432CC">
        <w:rPr>
          <w:rFonts w:ascii="Georgia" w:hAnsi="Georgia"/>
          <w:sz w:val="18"/>
          <w:szCs w:val="18"/>
          <w:lang w:val="en-US"/>
        </w:rPr>
        <w:t xml:space="preserve">figure </w:t>
      </w:r>
      <w:r w:rsidRPr="00F432CC">
        <w:rPr>
          <w:rFonts w:ascii="Georgia" w:hAnsi="Georgia"/>
          <w:sz w:val="18"/>
          <w:szCs w:val="18"/>
          <w:lang w:val="en-US"/>
        </w:rPr>
        <w:t>supplement 1. Raw representational dissimilarity maps for linked events. Time × time similarity maps depict Pearson’s r between theta frequency vectors</w:t>
      </w:r>
      <w:r w:rsidR="00236FA7" w:rsidRPr="00F432CC">
        <w:rPr>
          <w:rFonts w:ascii="Georgia" w:hAnsi="Georgia"/>
          <w:sz w:val="18"/>
          <w:szCs w:val="18"/>
          <w:lang w:val="en-US"/>
        </w:rPr>
        <w:t xml:space="preserve"> of event A and B</w:t>
      </w:r>
      <w:r w:rsidRPr="00F432CC">
        <w:rPr>
          <w:rFonts w:ascii="Georgia" w:hAnsi="Georgia"/>
          <w:sz w:val="18"/>
          <w:szCs w:val="18"/>
          <w:lang w:val="en-US"/>
        </w:rPr>
        <w:t xml:space="preserve"> at each time point. The </w:t>
      </w:r>
      <w:r w:rsidR="00236FA7" w:rsidRPr="00F432CC">
        <w:rPr>
          <w:rFonts w:ascii="Georgia" w:hAnsi="Georgia"/>
          <w:sz w:val="18"/>
          <w:szCs w:val="18"/>
          <w:lang w:val="en-US"/>
        </w:rPr>
        <w:t>grey</w:t>
      </w:r>
      <w:r w:rsidRPr="00F432CC">
        <w:rPr>
          <w:rFonts w:ascii="Georgia" w:hAnsi="Georgia"/>
          <w:sz w:val="18"/>
          <w:szCs w:val="18"/>
          <w:lang w:val="en-US"/>
        </w:rPr>
        <w:t xml:space="preserve"> line denotes the average significant cluster for the change from pre to post, the difference between imagination and observation and between the cTBS and the sham groups</w:t>
      </w:r>
      <w:r w:rsidR="00236FA7" w:rsidRPr="00F432CC">
        <w:rPr>
          <w:rFonts w:ascii="Georgia" w:hAnsi="Georgia"/>
          <w:sz w:val="18"/>
          <w:szCs w:val="18"/>
          <w:lang w:val="en-US"/>
        </w:rPr>
        <w:t xml:space="preserve"> as</w:t>
      </w:r>
      <w:r w:rsidRPr="00F432CC">
        <w:rPr>
          <w:rFonts w:ascii="Georgia" w:hAnsi="Georgia"/>
          <w:sz w:val="18"/>
          <w:szCs w:val="18"/>
          <w:lang w:val="en-US"/>
        </w:rPr>
        <w:t xml:space="preserve"> found for linked events across the electrodes T7, TP7, and P7. </w:t>
      </w:r>
    </w:p>
    <w:p w:rsidR="007A3E49" w:rsidRPr="00F432CC" w:rsidRDefault="007A3E49" w:rsidP="0041322C">
      <w:pPr>
        <w:spacing w:line="480" w:lineRule="auto"/>
        <w:jc w:val="both"/>
        <w:rPr>
          <w:rFonts w:ascii="Georgia" w:hAnsi="Georgia"/>
          <w:sz w:val="18"/>
          <w:szCs w:val="18"/>
          <w:lang w:val="en-US"/>
        </w:rPr>
      </w:pPr>
    </w:p>
    <w:p w:rsidR="007A3E49" w:rsidRPr="00F432CC" w:rsidRDefault="007A3E49" w:rsidP="0041322C">
      <w:pPr>
        <w:spacing w:line="480" w:lineRule="auto"/>
        <w:jc w:val="both"/>
        <w:rPr>
          <w:rFonts w:ascii="Georgia" w:hAnsi="Georgia"/>
          <w:sz w:val="18"/>
          <w:szCs w:val="18"/>
          <w:lang w:val="en-US"/>
        </w:rPr>
      </w:pPr>
    </w:p>
    <w:p w:rsidR="007A3E49" w:rsidRPr="00F432CC" w:rsidRDefault="007A3E49" w:rsidP="0041322C">
      <w:pPr>
        <w:spacing w:line="480" w:lineRule="auto"/>
        <w:jc w:val="both"/>
        <w:rPr>
          <w:rFonts w:ascii="Georgia" w:hAnsi="Georgia"/>
          <w:sz w:val="18"/>
          <w:szCs w:val="18"/>
          <w:lang w:val="en-US"/>
        </w:rPr>
      </w:pPr>
    </w:p>
    <w:p w:rsidR="007A3E49" w:rsidRPr="00F432CC" w:rsidRDefault="007A3E49" w:rsidP="0041322C">
      <w:pPr>
        <w:spacing w:line="480" w:lineRule="auto"/>
        <w:jc w:val="both"/>
        <w:rPr>
          <w:rFonts w:ascii="Georgia" w:hAnsi="Georgia"/>
          <w:sz w:val="18"/>
          <w:szCs w:val="18"/>
          <w:lang w:val="en-US"/>
        </w:rPr>
      </w:pPr>
      <w:r w:rsidRPr="00F432CC">
        <w:rPr>
          <w:rFonts w:ascii="Georgia" w:hAnsi="Georgia"/>
          <w:noProof/>
          <w:sz w:val="18"/>
          <w:szCs w:val="18"/>
          <w:lang w:eastAsia="de-DE"/>
        </w:rPr>
        <w:lastRenderedPageBreak/>
        <w:drawing>
          <wp:inline distT="0" distB="0" distL="0" distR="0">
            <wp:extent cx="5760720" cy="65582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w_RSA_NonLink.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558280"/>
                    </a:xfrm>
                    <a:prstGeom prst="rect">
                      <a:avLst/>
                    </a:prstGeom>
                  </pic:spPr>
                </pic:pic>
              </a:graphicData>
            </a:graphic>
          </wp:inline>
        </w:drawing>
      </w:r>
    </w:p>
    <w:p w:rsidR="007A3E49" w:rsidRDefault="007A3E49" w:rsidP="007A3E49">
      <w:pPr>
        <w:spacing w:line="480" w:lineRule="auto"/>
        <w:jc w:val="both"/>
        <w:rPr>
          <w:rFonts w:ascii="Georgia" w:hAnsi="Georgia"/>
          <w:sz w:val="18"/>
          <w:szCs w:val="18"/>
          <w:lang w:val="en-US"/>
        </w:rPr>
      </w:pPr>
      <w:r w:rsidRPr="00F432CC">
        <w:rPr>
          <w:rFonts w:ascii="Georgia" w:hAnsi="Georgia"/>
          <w:sz w:val="18"/>
          <w:szCs w:val="18"/>
          <w:lang w:val="en-US"/>
        </w:rPr>
        <w:t>Fig</w:t>
      </w:r>
      <w:r w:rsidR="00E87FB8" w:rsidRPr="00F432CC">
        <w:rPr>
          <w:rFonts w:ascii="Georgia" w:hAnsi="Georgia"/>
          <w:sz w:val="18"/>
          <w:szCs w:val="18"/>
          <w:lang w:val="en-US"/>
        </w:rPr>
        <w:t>ure</w:t>
      </w:r>
      <w:r w:rsidRPr="00F432CC">
        <w:rPr>
          <w:rFonts w:ascii="Georgia" w:hAnsi="Georgia"/>
          <w:sz w:val="18"/>
          <w:szCs w:val="18"/>
          <w:lang w:val="en-US"/>
        </w:rPr>
        <w:t xml:space="preserve"> 3 – </w:t>
      </w:r>
      <w:r w:rsidR="00E87FB8" w:rsidRPr="00F432CC">
        <w:rPr>
          <w:rFonts w:ascii="Georgia" w:hAnsi="Georgia"/>
          <w:sz w:val="18"/>
          <w:szCs w:val="18"/>
          <w:lang w:val="en-US"/>
        </w:rPr>
        <w:t xml:space="preserve">figure </w:t>
      </w:r>
      <w:r w:rsidRPr="00F432CC">
        <w:rPr>
          <w:rFonts w:ascii="Georgia" w:hAnsi="Georgia"/>
          <w:sz w:val="18"/>
          <w:szCs w:val="18"/>
          <w:lang w:val="en-US"/>
        </w:rPr>
        <w:t>supplement 2. Raw representational dissimilarity maps for non-linked events. Time × time similarity maps depict Pearson’s r between theta frequency vectors of event A and X at each time point. The grey line denotes the average significant cluster for the change from pre to post, the difference between imagination and observation and between the cTBS and the sham groups as found for non-linked events at the electrode FT7.</w:t>
      </w:r>
      <w:bookmarkStart w:id="0" w:name="_GoBack"/>
      <w:bookmarkEnd w:id="0"/>
      <w:r w:rsidRPr="0041322C">
        <w:rPr>
          <w:rFonts w:ascii="Georgia" w:hAnsi="Georgia"/>
          <w:sz w:val="18"/>
          <w:szCs w:val="18"/>
          <w:lang w:val="en-US"/>
        </w:rPr>
        <w:t xml:space="preserve"> </w:t>
      </w:r>
    </w:p>
    <w:p w:rsidR="0041322C" w:rsidRPr="00185DD2" w:rsidRDefault="0041322C" w:rsidP="002F00FC">
      <w:pPr>
        <w:spacing w:line="480" w:lineRule="auto"/>
        <w:jc w:val="both"/>
        <w:rPr>
          <w:lang w:val="en-US"/>
        </w:rPr>
      </w:pPr>
    </w:p>
    <w:sectPr w:rsidR="0041322C" w:rsidRPr="00185DD2" w:rsidSect="004E02C5">
      <w:footerReference w:type="defaul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090" w:rsidRDefault="00C43090">
      <w:pPr>
        <w:spacing w:after="0" w:line="240" w:lineRule="auto"/>
      </w:pPr>
      <w:r>
        <w:separator/>
      </w:r>
    </w:p>
  </w:endnote>
  <w:endnote w:type="continuationSeparator" w:id="0">
    <w:p w:rsidR="00C43090" w:rsidRDefault="00C43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122880"/>
      <w:docPartObj>
        <w:docPartGallery w:val="Page Numbers (Bottom of Page)"/>
        <w:docPartUnique/>
      </w:docPartObj>
    </w:sdtPr>
    <w:sdtEndPr/>
    <w:sdtContent>
      <w:p w:rsidR="00ED198B" w:rsidRDefault="00185DD2">
        <w:pPr>
          <w:pStyle w:val="Fuzeile"/>
          <w:jc w:val="right"/>
        </w:pPr>
        <w:r>
          <w:fldChar w:fldCharType="begin"/>
        </w:r>
        <w:r>
          <w:instrText>PAGE   \* MERGEFORMAT</w:instrText>
        </w:r>
        <w:r>
          <w:fldChar w:fldCharType="separate"/>
        </w:r>
        <w:r w:rsidR="00F432CC">
          <w:rPr>
            <w:noProof/>
          </w:rPr>
          <w:t>4</w:t>
        </w:r>
        <w:r>
          <w:fldChar w:fldCharType="end"/>
        </w:r>
      </w:p>
    </w:sdtContent>
  </w:sdt>
  <w:p w:rsidR="00ED198B" w:rsidRDefault="00ED19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090" w:rsidRDefault="00C43090">
      <w:pPr>
        <w:spacing w:after="0" w:line="240" w:lineRule="auto"/>
      </w:pPr>
      <w:r>
        <w:separator/>
      </w:r>
    </w:p>
  </w:footnote>
  <w:footnote w:type="continuationSeparator" w:id="0">
    <w:p w:rsidR="00C43090" w:rsidRDefault="00C43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4066C"/>
    <w:multiLevelType w:val="multilevel"/>
    <w:tmpl w:val="4208C334"/>
    <w:lvl w:ilvl="0">
      <w:numFmt w:val="decimal"/>
      <w:pStyle w:val="berschrift1"/>
      <w:lvlText w:val="%1."/>
      <w:lvlJc w:val="left"/>
      <w:pPr>
        <w:ind w:left="360" w:hanging="360"/>
      </w:pPr>
      <w:rPr>
        <w:rFonts w:hint="default"/>
      </w:rPr>
    </w:lvl>
    <w:lvl w:ilvl="1">
      <w:start w:val="1"/>
      <w:numFmt w:val="decimal"/>
      <w:pStyle w:val="Formatvorlage1"/>
      <w:lvlText w:val="%1.%2."/>
      <w:lvlJc w:val="left"/>
      <w:pPr>
        <w:ind w:left="792" w:hanging="432"/>
      </w:pPr>
    </w:lvl>
    <w:lvl w:ilvl="2">
      <w:start w:val="1"/>
      <w:numFmt w:val="decimal"/>
      <w:pStyle w:val="berschrift2"/>
      <w:lvlText w:val="%1.%2.%3."/>
      <w:lvlJc w:val="left"/>
      <w:pPr>
        <w:ind w:left="1224" w:hanging="504"/>
      </w:pPr>
      <w:rPr>
        <w:b/>
      </w:rPr>
    </w:lvl>
    <w:lvl w:ilvl="3">
      <w:start w:val="1"/>
      <w:numFmt w:val="decimal"/>
      <w:pStyle w:val="berschrift3"/>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D2"/>
    <w:rsid w:val="00004593"/>
    <w:rsid w:val="00041DDC"/>
    <w:rsid w:val="00151227"/>
    <w:rsid w:val="00185DD2"/>
    <w:rsid w:val="00236FA7"/>
    <w:rsid w:val="002745C1"/>
    <w:rsid w:val="002B0D8D"/>
    <w:rsid w:val="002F00FC"/>
    <w:rsid w:val="00336084"/>
    <w:rsid w:val="0041322C"/>
    <w:rsid w:val="00452099"/>
    <w:rsid w:val="006D53B5"/>
    <w:rsid w:val="0074453C"/>
    <w:rsid w:val="007A3E49"/>
    <w:rsid w:val="009C5341"/>
    <w:rsid w:val="00AA0383"/>
    <w:rsid w:val="00AC3C76"/>
    <w:rsid w:val="00B27166"/>
    <w:rsid w:val="00B577EF"/>
    <w:rsid w:val="00C43090"/>
    <w:rsid w:val="00D5424E"/>
    <w:rsid w:val="00D80226"/>
    <w:rsid w:val="00DC5E6E"/>
    <w:rsid w:val="00E87FB8"/>
    <w:rsid w:val="00ED198B"/>
    <w:rsid w:val="00F15118"/>
    <w:rsid w:val="00F432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0DEB7520-B3EB-479F-B0F0-6E7938F4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85DD2"/>
  </w:style>
  <w:style w:type="paragraph" w:styleId="berschrift1">
    <w:name w:val="heading 1"/>
    <w:basedOn w:val="Standard"/>
    <w:next w:val="Standard"/>
    <w:link w:val="berschrift1Zchn"/>
    <w:uiPriority w:val="9"/>
    <w:qFormat/>
    <w:rsid w:val="00185DD2"/>
    <w:pPr>
      <w:keepNext/>
      <w:keepLines/>
      <w:numPr>
        <w:numId w:val="1"/>
      </w:numPr>
      <w:spacing w:before="240" w:after="0" w:line="360" w:lineRule="auto"/>
      <w:jc w:val="both"/>
      <w:outlineLvl w:val="0"/>
    </w:pPr>
    <w:rPr>
      <w:rFonts w:ascii="Georgia" w:eastAsiaTheme="majorEastAsia" w:hAnsi="Georgia" w:cstheme="majorBidi"/>
      <w:b/>
      <w:bCs/>
      <w:szCs w:val="32"/>
      <w:lang w:val="en-US"/>
    </w:rPr>
  </w:style>
  <w:style w:type="paragraph" w:styleId="berschrift2">
    <w:name w:val="heading 2"/>
    <w:basedOn w:val="Formatvorlage1"/>
    <w:next w:val="Standard"/>
    <w:link w:val="berschrift2Zchn"/>
    <w:uiPriority w:val="9"/>
    <w:unhideWhenUsed/>
    <w:qFormat/>
    <w:rsid w:val="00185DD2"/>
    <w:pPr>
      <w:numPr>
        <w:ilvl w:val="2"/>
      </w:numPr>
      <w:outlineLvl w:val="1"/>
    </w:pPr>
  </w:style>
  <w:style w:type="paragraph" w:styleId="berschrift3">
    <w:name w:val="heading 3"/>
    <w:basedOn w:val="Listenabsatz"/>
    <w:next w:val="Standard"/>
    <w:link w:val="berschrift3Zchn"/>
    <w:uiPriority w:val="9"/>
    <w:unhideWhenUsed/>
    <w:qFormat/>
    <w:rsid w:val="00185DD2"/>
    <w:pPr>
      <w:numPr>
        <w:ilvl w:val="3"/>
        <w:numId w:val="1"/>
      </w:numPr>
      <w:tabs>
        <w:tab w:val="left" w:pos="1701"/>
      </w:tabs>
      <w:spacing w:line="360" w:lineRule="auto"/>
      <w:ind w:left="426" w:firstLine="283"/>
      <w:contextualSpacing w:val="0"/>
      <w:jc w:val="both"/>
      <w:outlineLvl w:val="2"/>
    </w:pPr>
    <w:rPr>
      <w:rFonts w:ascii="Georgia" w:hAnsi="Georgia"/>
      <w:b/>
      <w:bCs/>
      <w:i/>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85DD2"/>
    <w:rPr>
      <w:rFonts w:ascii="Georgia" w:eastAsiaTheme="majorEastAsia" w:hAnsi="Georgia" w:cstheme="majorBidi"/>
      <w:b/>
      <w:bCs/>
      <w:szCs w:val="32"/>
      <w:lang w:val="en-US"/>
    </w:rPr>
  </w:style>
  <w:style w:type="character" w:customStyle="1" w:styleId="berschrift2Zchn">
    <w:name w:val="Überschrift 2 Zchn"/>
    <w:basedOn w:val="Absatz-Standardschriftart"/>
    <w:link w:val="berschrift2"/>
    <w:uiPriority w:val="9"/>
    <w:rsid w:val="00185DD2"/>
    <w:rPr>
      <w:rFonts w:ascii="Georgia" w:eastAsiaTheme="majorEastAsia" w:hAnsi="Georgia" w:cstheme="majorBidi"/>
      <w:b/>
      <w:bCs/>
      <w:szCs w:val="32"/>
      <w:lang w:val="en-US"/>
    </w:rPr>
  </w:style>
  <w:style w:type="character" w:customStyle="1" w:styleId="berschrift3Zchn">
    <w:name w:val="Überschrift 3 Zchn"/>
    <w:basedOn w:val="Absatz-Standardschriftart"/>
    <w:link w:val="berschrift3"/>
    <w:uiPriority w:val="9"/>
    <w:rsid w:val="00185DD2"/>
    <w:rPr>
      <w:rFonts w:ascii="Georgia" w:hAnsi="Georgia"/>
      <w:b/>
      <w:bCs/>
      <w:i/>
      <w:lang w:val="en-US"/>
    </w:rPr>
  </w:style>
  <w:style w:type="paragraph" w:customStyle="1" w:styleId="Formatvorlage1">
    <w:name w:val="Formatvorlage1"/>
    <w:basedOn w:val="berschrift1"/>
    <w:link w:val="Formatvorlage1Zchn"/>
    <w:qFormat/>
    <w:rsid w:val="00185DD2"/>
    <w:pPr>
      <w:numPr>
        <w:ilvl w:val="1"/>
      </w:numPr>
      <w:ind w:left="993" w:hanging="633"/>
    </w:pPr>
  </w:style>
  <w:style w:type="paragraph" w:styleId="Fuzeile">
    <w:name w:val="footer"/>
    <w:basedOn w:val="Standard"/>
    <w:link w:val="FuzeileZchn"/>
    <w:uiPriority w:val="99"/>
    <w:unhideWhenUsed/>
    <w:rsid w:val="00185DD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5DD2"/>
  </w:style>
  <w:style w:type="character" w:customStyle="1" w:styleId="Formatvorlage1Zchn">
    <w:name w:val="Formatvorlage1 Zchn"/>
    <w:basedOn w:val="berschrift1Zchn"/>
    <w:link w:val="Formatvorlage1"/>
    <w:rsid w:val="00185DD2"/>
    <w:rPr>
      <w:rFonts w:ascii="Georgia" w:eastAsiaTheme="majorEastAsia" w:hAnsi="Georgia" w:cstheme="majorBidi"/>
      <w:b/>
      <w:bCs/>
      <w:szCs w:val="32"/>
      <w:lang w:val="en-US"/>
    </w:rPr>
  </w:style>
  <w:style w:type="paragraph" w:styleId="Listenabsatz">
    <w:name w:val="List Paragraph"/>
    <w:basedOn w:val="Standard"/>
    <w:uiPriority w:val="34"/>
    <w:qFormat/>
    <w:rsid w:val="00185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368</Words>
  <Characters>2325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Grob</dc:creator>
  <cp:keywords/>
  <dc:description/>
  <cp:lastModifiedBy>Anna-Maria Grob</cp:lastModifiedBy>
  <cp:revision>3</cp:revision>
  <dcterms:created xsi:type="dcterms:W3CDTF">2024-02-06T15:19:00Z</dcterms:created>
  <dcterms:modified xsi:type="dcterms:W3CDTF">2024-02-06T15:19:00Z</dcterms:modified>
</cp:coreProperties>
</file>