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C46212" w:rsidRPr="00C46212" w14:paraId="737D6F7F" w14:textId="77777777" w:rsidTr="00E753F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1308E966" w14:textId="77777777" w:rsidTr="00E753F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D91353" w:rsidR="00F102CC" w:rsidRPr="00C46212" w:rsidRDefault="007157C6">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7791599D" w14:textId="77777777" w:rsidTr="00E753FB">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C46212" w:rsidRDefault="003D5AF6">
            <w:pPr>
              <w:rPr>
                <w:rFonts w:ascii="Noto Sans" w:eastAsia="Noto Sans" w:hAnsi="Noto Sans" w:cs="Noto Sans"/>
                <w:b/>
                <w:sz w:val="18"/>
                <w:szCs w:val="18"/>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C46212" w:rsidRDefault="00427975">
            <w:pPr>
              <w:spacing w:line="225" w:lineRule="auto"/>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C46212" w:rsidRDefault="00427975">
            <w:pPr>
              <w:spacing w:line="225" w:lineRule="auto"/>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5B289DCF" w14:textId="77777777" w:rsidTr="00E753F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652BEC25" w14:textId="77777777" w:rsidTr="00E753F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For commercial reagents, provide supplier name, catalogue number and</w:t>
            </w:r>
            <w:hyperlink r:id="rId12">
              <w:r w:rsidRPr="00C46212">
                <w:rPr>
                  <w:rFonts w:ascii="Noto Sans" w:eastAsia="Noto Sans" w:hAnsi="Noto Sans" w:cs="Noto Sans"/>
                  <w:sz w:val="18"/>
                  <w:szCs w:val="18"/>
                </w:rPr>
                <w:t xml:space="preserve"> </w:t>
              </w:r>
            </w:hyperlink>
            <w:hyperlink r:id="rId13">
              <w:r w:rsidRPr="00C46212">
                <w:rPr>
                  <w:rFonts w:ascii="Noto Sans" w:eastAsia="Noto Sans" w:hAnsi="Noto Sans" w:cs="Noto Sans"/>
                  <w:sz w:val="18"/>
                  <w:szCs w:val="18"/>
                  <w:u w:val="single"/>
                </w:rPr>
                <w:t>RRID</w:t>
              </w:r>
            </w:hyperlink>
            <w:r w:rsidRPr="00C46212">
              <w:rPr>
                <w:rFonts w:ascii="Noto Sans" w:eastAsia="Noto Sans" w:hAnsi="Noto Sans" w:cs="Noto Sans"/>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997DF3" w:rsidR="00F102CC" w:rsidRPr="00C46212" w:rsidRDefault="00BB7D50">
            <w:pPr>
              <w:rPr>
                <w:rFonts w:ascii="Noto Sans" w:eastAsia="Noto Sans" w:hAnsi="Noto Sans" w:cs="Noto Sans"/>
                <w:bCs/>
                <w:sz w:val="18"/>
                <w:szCs w:val="18"/>
              </w:rPr>
            </w:pPr>
            <w:r w:rsidRPr="00C46212">
              <w:rPr>
                <w:rStyle w:val="normaltextrun"/>
                <w:rFonts w:ascii="Noto Sans" w:hAnsi="Noto Sans" w:cs="Noto Sans"/>
                <w:sz w:val="18"/>
                <w:szCs w:val="18"/>
                <w:shd w:val="clear" w:color="auto" w:fill="FFFFFF"/>
              </w:rPr>
              <w:t>Anti-SPAG7 (Sigma, HPA024032), Anti-IGF1 (</w:t>
            </w:r>
            <w:proofErr w:type="spellStart"/>
            <w:r w:rsidRPr="00C46212">
              <w:rPr>
                <w:rStyle w:val="normaltextrun"/>
                <w:rFonts w:ascii="Noto Sans" w:hAnsi="Noto Sans" w:cs="Noto Sans"/>
                <w:sz w:val="18"/>
                <w:szCs w:val="18"/>
                <w:shd w:val="clear" w:color="auto" w:fill="FFFFFF"/>
              </w:rPr>
              <w:t>ThermoFisher</w:t>
            </w:r>
            <w:proofErr w:type="spellEnd"/>
            <w:r w:rsidRPr="00C46212">
              <w:rPr>
                <w:rStyle w:val="normaltextrun"/>
                <w:rFonts w:ascii="Noto Sans" w:hAnsi="Noto Sans" w:cs="Noto Sans"/>
                <w:sz w:val="18"/>
                <w:szCs w:val="18"/>
                <w:shd w:val="clear" w:color="auto" w:fill="FFFFFF"/>
              </w:rPr>
              <w:t>, MA5-35060), Anti-IGF2 (</w:t>
            </w:r>
            <w:proofErr w:type="spellStart"/>
            <w:r w:rsidRPr="00C46212">
              <w:rPr>
                <w:rStyle w:val="normaltextrun"/>
                <w:rFonts w:ascii="Noto Sans" w:hAnsi="Noto Sans" w:cs="Noto Sans"/>
                <w:sz w:val="18"/>
                <w:szCs w:val="18"/>
                <w:shd w:val="clear" w:color="auto" w:fill="FFFFFF"/>
              </w:rPr>
              <w:t>ThermoFisher</w:t>
            </w:r>
            <w:proofErr w:type="spellEnd"/>
            <w:r w:rsidRPr="00C46212">
              <w:rPr>
                <w:rStyle w:val="normaltextrun"/>
                <w:rFonts w:ascii="Noto Sans" w:hAnsi="Noto Sans" w:cs="Noto Sans"/>
                <w:sz w:val="18"/>
                <w:szCs w:val="18"/>
                <w:shd w:val="clear" w:color="auto" w:fill="FFFFFF"/>
              </w:rPr>
              <w:t>, PA5-71494), and Anti-</w:t>
            </w:r>
            <w:proofErr w:type="spellStart"/>
            <w:r w:rsidRPr="00C46212">
              <w:rPr>
                <w:rStyle w:val="normaltextrun"/>
                <w:rFonts w:ascii="Noto Sans" w:hAnsi="Noto Sans" w:cs="Noto Sans"/>
                <w:sz w:val="18"/>
                <w:szCs w:val="18"/>
                <w:shd w:val="clear" w:color="auto" w:fill="FFFFFF"/>
              </w:rPr>
              <w:t>bACTIN</w:t>
            </w:r>
            <w:proofErr w:type="spellEnd"/>
            <w:r w:rsidRPr="00C46212">
              <w:rPr>
                <w:rStyle w:val="normaltextrun"/>
                <w:rFonts w:ascii="Noto Sans" w:hAnsi="Noto Sans" w:cs="Noto Sans"/>
                <w:sz w:val="18"/>
                <w:szCs w:val="18"/>
                <w:shd w:val="clear" w:color="auto" w:fill="FFFFFF"/>
              </w:rPr>
              <w:t xml:space="preserve"> (</w:t>
            </w:r>
            <w:proofErr w:type="spellStart"/>
            <w:r w:rsidRPr="00C46212">
              <w:rPr>
                <w:rStyle w:val="normaltextrun"/>
                <w:rFonts w:ascii="Noto Sans" w:hAnsi="Noto Sans" w:cs="Noto Sans"/>
                <w:sz w:val="18"/>
                <w:szCs w:val="18"/>
                <w:shd w:val="clear" w:color="auto" w:fill="FFFFFF"/>
              </w:rPr>
              <w:t>ThermoFisher</w:t>
            </w:r>
            <w:proofErr w:type="spellEnd"/>
            <w:r w:rsidRPr="00C46212">
              <w:rPr>
                <w:rStyle w:val="normaltextrun"/>
                <w:rFonts w:ascii="Noto Sans" w:hAnsi="Noto Sans" w:cs="Noto Sans"/>
                <w:sz w:val="18"/>
                <w:szCs w:val="18"/>
                <w:shd w:val="clear" w:color="auto" w:fill="FFFFFF"/>
              </w:rPr>
              <w:t>, MA5-32540)</w:t>
            </w:r>
            <w:r w:rsidR="00634942" w:rsidRPr="00C46212">
              <w:rPr>
                <w:rFonts w:ascii="Noto Sans" w:hAnsi="Noto Sans" w:cs="Noto Sans"/>
                <w:sz w:val="18"/>
                <w:szCs w:val="18"/>
              </w:rPr>
              <w:t xml:space="preserve"> </w:t>
            </w:r>
            <w:r w:rsidR="00634942" w:rsidRPr="00C46212">
              <w:rPr>
                <w:rStyle w:val="ui-provider"/>
                <w:rFonts w:ascii="Noto Sans" w:hAnsi="Noto Sans" w:cs="Noto Sans"/>
                <w:sz w:val="18"/>
                <w:szCs w:val="18"/>
              </w:rPr>
              <w:t>CD31 antibody (</w:t>
            </w:r>
            <w:proofErr w:type="spellStart"/>
            <w:r w:rsidR="00634942" w:rsidRPr="00C46212">
              <w:rPr>
                <w:rStyle w:val="ui-provider"/>
                <w:rFonts w:ascii="Noto Sans" w:hAnsi="Noto Sans" w:cs="Noto Sans"/>
                <w:sz w:val="18"/>
                <w:szCs w:val="18"/>
              </w:rPr>
              <w:t>Biocare</w:t>
            </w:r>
            <w:proofErr w:type="spellEnd"/>
            <w:r w:rsidR="00634942" w:rsidRPr="00C46212">
              <w:rPr>
                <w:rStyle w:val="ui-provider"/>
                <w:rFonts w:ascii="Noto Sans" w:hAnsi="Noto Sans" w:cs="Noto Sans"/>
                <w:sz w:val="18"/>
                <w:szCs w:val="18"/>
              </w:rPr>
              <w:t>, CM-303A)</w:t>
            </w:r>
            <w:r w:rsidR="00505134" w:rsidRPr="00C46212">
              <w:rPr>
                <w:rStyle w:val="ui-provider"/>
                <w:rFonts w:ascii="Noto Sans" w:hAnsi="Noto Sans" w:cs="Noto Sans"/>
                <w:sz w:val="18"/>
                <w:szCs w:val="18"/>
              </w:rPr>
              <w:t>,</w:t>
            </w:r>
            <w:r w:rsidR="00F8554D" w:rsidRPr="00C46212">
              <w:rPr>
                <w:rFonts w:ascii="Noto Sans" w:hAnsi="Noto Sans" w:cs="Noto Sans"/>
                <w:sz w:val="18"/>
                <w:szCs w:val="18"/>
              </w:rPr>
              <w:t xml:space="preserve"> </w:t>
            </w:r>
            <w:proofErr w:type="spellStart"/>
            <w:r w:rsidR="00F8554D" w:rsidRPr="00C46212">
              <w:rPr>
                <w:rStyle w:val="ui-provider"/>
                <w:rFonts w:ascii="Noto Sans" w:hAnsi="Noto Sans" w:cs="Noto Sans"/>
                <w:sz w:val="18"/>
                <w:szCs w:val="18"/>
              </w:rPr>
              <w:t>Dylight</w:t>
            </w:r>
            <w:proofErr w:type="spellEnd"/>
            <w:r w:rsidR="00F8554D" w:rsidRPr="00C46212">
              <w:rPr>
                <w:rStyle w:val="ui-provider"/>
                <w:rFonts w:ascii="Noto Sans" w:hAnsi="Noto Sans" w:cs="Noto Sans"/>
                <w:sz w:val="18"/>
                <w:szCs w:val="18"/>
              </w:rPr>
              <w:t xml:space="preserve"> 594 tomato lectin (Vector Laboratories, DL-1177)</w:t>
            </w:r>
            <w:r w:rsidR="00505134" w:rsidRPr="00C46212">
              <w:rPr>
                <w:rStyle w:val="ui-provider"/>
                <w:rFonts w:ascii="Noto Sans" w:hAnsi="Noto Sans" w:cs="Noto Sans"/>
                <w:sz w:val="18"/>
                <w:szCs w:val="18"/>
              </w:rPr>
              <w:t xml:space="preserve">, </w:t>
            </w:r>
            <w:proofErr w:type="spellStart"/>
            <w:r w:rsidR="00505134" w:rsidRPr="00C46212">
              <w:rPr>
                <w:rStyle w:val="ui-provider"/>
                <w:rFonts w:ascii="Noto Sans" w:hAnsi="Noto Sans" w:cs="Noto Sans"/>
                <w:sz w:val="18"/>
                <w:szCs w:val="18"/>
              </w:rPr>
              <w:t>alexa</w:t>
            </w:r>
            <w:proofErr w:type="spellEnd"/>
            <w:r w:rsidR="00505134" w:rsidRPr="00C46212">
              <w:rPr>
                <w:rStyle w:val="ui-provider"/>
                <w:rFonts w:ascii="Noto Sans" w:hAnsi="Noto Sans" w:cs="Noto Sans"/>
                <w:sz w:val="18"/>
                <w:szCs w:val="18"/>
              </w:rPr>
              <w:t xml:space="preserve"> 488 goat anti-rat secondary antibody (</w:t>
            </w:r>
            <w:proofErr w:type="spellStart"/>
            <w:r w:rsidR="00505134" w:rsidRPr="00C46212">
              <w:rPr>
                <w:rStyle w:val="ui-provider"/>
                <w:rFonts w:ascii="Noto Sans" w:hAnsi="Noto Sans" w:cs="Noto Sans"/>
                <w:sz w:val="18"/>
                <w:szCs w:val="18"/>
              </w:rPr>
              <w:t>Thermo</w:t>
            </w:r>
            <w:proofErr w:type="spellEnd"/>
            <w:r w:rsidR="00505134" w:rsidRPr="00C46212">
              <w:rPr>
                <w:rStyle w:val="ui-provider"/>
                <w:rFonts w:ascii="Noto Sans" w:hAnsi="Noto Sans" w:cs="Noto Sans"/>
                <w:sz w:val="18"/>
                <w:szCs w:val="18"/>
              </w:rPr>
              <w:t xml:space="preserve"> Fisher, A-11006</w:t>
            </w:r>
            <w:r w:rsidR="00D306DF" w:rsidRPr="00C46212">
              <w:rPr>
                <w:rStyle w:val="ui-provider"/>
                <w:rFonts w:ascii="Noto Sans" w:hAnsi="Noto Sans" w:cs="Noto Sans"/>
                <w:sz w:val="18"/>
                <w:szCs w:val="18"/>
              </w:rPr>
              <w:t xml:space="preserve">), </w:t>
            </w:r>
            <w:r w:rsidR="00D306DF" w:rsidRPr="00C46212">
              <w:rPr>
                <w:rFonts w:ascii="Noto Sans" w:hAnsi="Noto Sans" w:cs="Noto Sans"/>
                <w:sz w:val="18"/>
                <w:szCs w:val="18"/>
                <w:shd w:val="clear" w:color="auto" w:fill="FFFFFF"/>
              </w:rPr>
              <w:t>anti-CD34 primary antibody (</w:t>
            </w:r>
            <w:r w:rsidR="00D306DF" w:rsidRPr="00C46212">
              <w:rPr>
                <w:rFonts w:ascii="Noto Sans" w:hAnsi="Noto Sans" w:cs="Noto Sans"/>
                <w:sz w:val="18"/>
                <w:szCs w:val="18"/>
              </w:rPr>
              <w:t>Abcam ab81289)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FB754C9" w14:textId="77777777" w:rsidR="00E753FB" w:rsidRDefault="00E753FB" w:rsidP="00E753FB">
            <w:pPr>
              <w:rPr>
                <w:rFonts w:ascii="Noto Sans" w:eastAsia="Noto Sans" w:hAnsi="Noto Sans" w:cs="Noto Sans"/>
                <w:bCs/>
                <w:sz w:val="18"/>
                <w:szCs w:val="18"/>
              </w:rPr>
            </w:pPr>
            <w:r>
              <w:rPr>
                <w:rFonts w:ascii="Noto Sans" w:eastAsia="Noto Sans" w:hAnsi="Noto Sans" w:cs="Noto Sans"/>
                <w:bCs/>
                <w:sz w:val="18"/>
                <w:szCs w:val="18"/>
              </w:rPr>
              <w:t>X</w:t>
            </w:r>
          </w:p>
          <w:p w14:paraId="4B966EF8" w14:textId="74E5EDA1" w:rsidR="00F102CC" w:rsidRPr="00C46212" w:rsidRDefault="00F102CC">
            <w:pPr>
              <w:rPr>
                <w:rFonts w:ascii="Noto Sans" w:eastAsia="Noto Sans" w:hAnsi="Noto Sans" w:cs="Noto Sans"/>
                <w:bCs/>
                <w:sz w:val="18"/>
                <w:szCs w:val="18"/>
              </w:rPr>
            </w:pPr>
          </w:p>
        </w:tc>
      </w:tr>
      <w:tr w:rsidR="00C46212" w:rsidRPr="00C46212" w14:paraId="448FB7EC" w14:textId="77777777" w:rsidTr="00E753F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C46212" w:rsidRDefault="00F102CC">
            <w:pPr>
              <w:rPr>
                <w:rFonts w:ascii="Noto Sans" w:eastAsia="Noto Sans" w:hAnsi="Noto Sans" w:cs="Noto Sans"/>
                <w:b/>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C46212" w:rsidRDefault="00427975">
            <w:pPr>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C46212" w:rsidRDefault="00427975">
            <w:pPr>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63FBBA34" w14:textId="77777777" w:rsidTr="00E753F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6D5E78B7" w14:textId="77777777" w:rsidTr="00E753F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C46212" w:rsidRDefault="00427975">
            <w:pPr>
              <w:rPr>
                <w:rFonts w:ascii="Noto Sans" w:eastAsia="Noto Sans" w:hAnsi="Noto Sans" w:cs="Noto Sans"/>
                <w:sz w:val="18"/>
                <w:szCs w:val="18"/>
                <w:highlight w:val="white"/>
              </w:rPr>
            </w:pPr>
            <w:r w:rsidRPr="00C46212">
              <w:rPr>
                <w:rFonts w:ascii="Noto Sans" w:eastAsia="Noto Sans" w:hAnsi="Noto Sans" w:cs="Noto Sans"/>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F63F0C" w14:textId="77777777" w:rsidR="00610F98" w:rsidRPr="00C46212" w:rsidRDefault="00610F98">
            <w:pPr>
              <w:rPr>
                <w:rFonts w:ascii="Noto Sans" w:eastAsia="Noto Sans" w:hAnsi="Noto Sans" w:cs="Noto Sans"/>
                <w:bCs/>
                <w:sz w:val="18"/>
                <w:szCs w:val="18"/>
              </w:rPr>
            </w:pPr>
            <w:r w:rsidRPr="00C46212">
              <w:rPr>
                <w:rFonts w:ascii="Noto Sans" w:eastAsia="Noto Sans" w:hAnsi="Noto Sans" w:cs="Noto Sans"/>
                <w:bCs/>
                <w:sz w:val="18"/>
                <w:szCs w:val="18"/>
              </w:rPr>
              <w:t xml:space="preserve">SPAG7 Genotyping Primers: </w:t>
            </w:r>
            <w:r w:rsidRPr="00C46212">
              <w:rPr>
                <w:rFonts w:ascii="Noto Sans" w:hAnsi="Noto Sans" w:cs="Noto Sans"/>
                <w:sz w:val="18"/>
                <w:szCs w:val="18"/>
              </w:rPr>
              <w:t>5’-</w:t>
            </w:r>
            <w:r w:rsidRPr="00C46212">
              <w:rPr>
                <w:rFonts w:ascii="Noto Sans" w:hAnsi="Noto Sans" w:cs="Noto Sans"/>
                <w:kern w:val="24"/>
                <w:sz w:val="18"/>
                <w:szCs w:val="18"/>
              </w:rPr>
              <w:t xml:space="preserve"> </w:t>
            </w:r>
            <w:r w:rsidRPr="00C46212">
              <w:rPr>
                <w:rFonts w:ascii="Noto Sans" w:hAnsi="Noto Sans" w:cs="Noto Sans"/>
                <w:sz w:val="18"/>
                <w:szCs w:val="18"/>
              </w:rPr>
              <w:t>TCACATCACGGTCCATCATC and 5’-</w:t>
            </w:r>
            <w:r w:rsidRPr="00C46212">
              <w:rPr>
                <w:rFonts w:ascii="Noto Sans" w:hAnsi="Noto Sans" w:cs="Noto Sans"/>
                <w:kern w:val="24"/>
                <w:sz w:val="18"/>
                <w:szCs w:val="18"/>
              </w:rPr>
              <w:t xml:space="preserve"> </w:t>
            </w:r>
            <w:r w:rsidRPr="00C46212">
              <w:rPr>
                <w:rFonts w:ascii="Noto Sans" w:hAnsi="Noto Sans" w:cs="Noto Sans"/>
                <w:sz w:val="18"/>
                <w:szCs w:val="18"/>
              </w:rPr>
              <w:t>TCATGACATAGCGACAGTCA</w:t>
            </w:r>
            <w:r w:rsidRPr="00C46212">
              <w:rPr>
                <w:rFonts w:ascii="Noto Sans" w:eastAsia="Noto Sans" w:hAnsi="Noto Sans" w:cs="Noto Sans"/>
                <w:bCs/>
                <w:sz w:val="18"/>
                <w:szCs w:val="18"/>
              </w:rPr>
              <w:t xml:space="preserve"> </w:t>
            </w:r>
          </w:p>
          <w:p w14:paraId="48CCCF89" w14:textId="77777777" w:rsidR="00CB717E" w:rsidRPr="00C46212" w:rsidRDefault="001668B2">
            <w:pPr>
              <w:rPr>
                <w:rFonts w:ascii="Noto Sans" w:hAnsi="Noto Sans" w:cs="Noto Sans"/>
                <w:caps/>
                <w:sz w:val="18"/>
                <w:szCs w:val="18"/>
              </w:rPr>
            </w:pPr>
            <w:r w:rsidRPr="00C46212">
              <w:rPr>
                <w:rFonts w:ascii="Noto Sans" w:eastAsia="Noto Sans" w:hAnsi="Noto Sans" w:cs="Noto Sans"/>
                <w:bCs/>
                <w:sz w:val="18"/>
                <w:szCs w:val="18"/>
              </w:rPr>
              <w:t>SPAG7</w:t>
            </w:r>
            <w:r w:rsidR="00610F98" w:rsidRPr="00C46212">
              <w:rPr>
                <w:rFonts w:ascii="Noto Sans" w:eastAsia="Noto Sans" w:hAnsi="Noto Sans" w:cs="Noto Sans"/>
                <w:bCs/>
                <w:sz w:val="18"/>
                <w:szCs w:val="18"/>
              </w:rPr>
              <w:t xml:space="preserve"> </w:t>
            </w:r>
            <w:proofErr w:type="spellStart"/>
            <w:r w:rsidR="00610F98" w:rsidRPr="00C46212">
              <w:rPr>
                <w:rFonts w:ascii="Noto Sans" w:eastAsia="Noto Sans" w:hAnsi="Noto Sans" w:cs="Noto Sans"/>
                <w:bCs/>
                <w:sz w:val="18"/>
                <w:szCs w:val="18"/>
              </w:rPr>
              <w:t>cKO</w:t>
            </w:r>
            <w:proofErr w:type="spellEnd"/>
            <w:r w:rsidRPr="00C46212">
              <w:rPr>
                <w:rFonts w:ascii="Noto Sans" w:eastAsia="Noto Sans" w:hAnsi="Noto Sans" w:cs="Noto Sans"/>
                <w:bCs/>
                <w:sz w:val="18"/>
                <w:szCs w:val="18"/>
              </w:rPr>
              <w:t xml:space="preserve"> sgRNAs: </w:t>
            </w:r>
            <w:r w:rsidRPr="00C46212">
              <w:rPr>
                <w:rFonts w:ascii="Noto Sans" w:hAnsi="Noto Sans" w:cs="Noto Sans"/>
                <w:sz w:val="18"/>
                <w:szCs w:val="18"/>
              </w:rPr>
              <w:t>5</w:t>
            </w:r>
            <w:r w:rsidRPr="00C46212">
              <w:rPr>
                <w:rFonts w:ascii="Noto Sans" w:hAnsi="Noto Sans" w:cs="Noto Sans"/>
                <w:caps/>
                <w:sz w:val="18"/>
                <w:szCs w:val="18"/>
              </w:rPr>
              <w:t xml:space="preserve">’-cctgaagccagtgtatattg </w:t>
            </w:r>
            <w:r w:rsidRPr="00C46212">
              <w:rPr>
                <w:rFonts w:ascii="Noto Sans" w:hAnsi="Noto Sans" w:cs="Noto Sans"/>
                <w:sz w:val="18"/>
                <w:szCs w:val="18"/>
              </w:rPr>
              <w:t>and 5’-</w:t>
            </w:r>
            <w:r w:rsidRPr="00C46212">
              <w:rPr>
                <w:rFonts w:ascii="Noto Sans" w:hAnsi="Noto Sans" w:cs="Noto Sans"/>
                <w:caps/>
                <w:sz w:val="18"/>
                <w:szCs w:val="18"/>
              </w:rPr>
              <w:t>gggcttttagttccaccatc</w:t>
            </w:r>
          </w:p>
          <w:p w14:paraId="0BD2CD43" w14:textId="77777777" w:rsidR="00476C9E" w:rsidRPr="00C46212" w:rsidRDefault="001C1328">
            <w:pPr>
              <w:rPr>
                <w:rStyle w:val="Hyperlink"/>
                <w:rFonts w:ascii="Noto Sans" w:hAnsi="Noto Sans" w:cs="Noto Sans"/>
                <w:color w:val="auto"/>
                <w:sz w:val="18"/>
                <w:szCs w:val="18"/>
              </w:rPr>
            </w:pPr>
            <w:r w:rsidRPr="00C46212">
              <w:rPr>
                <w:rFonts w:ascii="Noto Sans" w:hAnsi="Noto Sans" w:cs="Noto Sans"/>
                <w:sz w:val="18"/>
                <w:szCs w:val="18"/>
              </w:rPr>
              <w:t xml:space="preserve">Mitochondrial Cytochrome b Probe (Fisher Scientific - </w:t>
            </w:r>
            <w:hyperlink r:id="rId14" w:tgtFrame="_blank" w:history="1">
              <w:r w:rsidRPr="00C46212">
                <w:rPr>
                  <w:rStyle w:val="Hyperlink"/>
                  <w:rFonts w:ascii="Noto Sans" w:hAnsi="Noto Sans" w:cs="Noto Sans"/>
                  <w:color w:val="auto"/>
                  <w:sz w:val="18"/>
                  <w:szCs w:val="18"/>
                </w:rPr>
                <w:t>Mm04225271_g1</w:t>
              </w:r>
            </w:hyperlink>
            <w:r w:rsidR="00A34B42" w:rsidRPr="00C46212">
              <w:rPr>
                <w:rStyle w:val="Hyperlink"/>
                <w:rFonts w:ascii="Noto Sans" w:hAnsi="Noto Sans" w:cs="Noto Sans"/>
                <w:color w:val="auto"/>
                <w:sz w:val="18"/>
                <w:szCs w:val="18"/>
              </w:rPr>
              <w:t>)</w:t>
            </w:r>
          </w:p>
          <w:p w14:paraId="220B6931" w14:textId="6393D0D3" w:rsidR="00A34B42" w:rsidRPr="00C46212" w:rsidRDefault="00A34B42">
            <w:pPr>
              <w:rPr>
                <w:rFonts w:ascii="Noto Sans" w:hAnsi="Noto Sans" w:cs="Noto Sans"/>
                <w:caps/>
                <w:sz w:val="18"/>
                <w:szCs w:val="18"/>
              </w:rPr>
            </w:pPr>
            <w:r w:rsidRPr="00C46212">
              <w:rPr>
                <w:rFonts w:ascii="Noto Sans" w:hAnsi="Noto Sans" w:cs="Noto Sans"/>
                <w:sz w:val="18"/>
                <w:szCs w:val="18"/>
              </w:rPr>
              <w:t xml:space="preserve">Ubiquitin C Probe (Fisher Scientific - </w:t>
            </w:r>
            <w:hyperlink r:id="rId15" w:tgtFrame="_blank" w:history="1">
              <w:r w:rsidRPr="00C46212">
                <w:rPr>
                  <w:rStyle w:val="Hyperlink"/>
                  <w:rFonts w:ascii="Noto Sans" w:hAnsi="Noto Sans" w:cs="Noto Sans"/>
                  <w:color w:val="auto"/>
                  <w:sz w:val="18"/>
                  <w:szCs w:val="18"/>
                </w:rPr>
                <w:t>Mm02525934_g1</w:t>
              </w:r>
            </w:hyperlink>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6B7C507" w:rsidR="00F102CC" w:rsidRPr="00C46212" w:rsidRDefault="00F8787C">
            <w:pPr>
              <w:rPr>
                <w:rFonts w:ascii="Noto Sans" w:eastAsia="Noto Sans" w:hAnsi="Noto Sans" w:cs="Noto Sans"/>
                <w:bCs/>
                <w:sz w:val="18"/>
                <w:szCs w:val="18"/>
              </w:rPr>
            </w:pPr>
            <w:r w:rsidRPr="00C46212">
              <w:rPr>
                <w:rFonts w:ascii="Noto Sans" w:eastAsia="Noto Sans" w:hAnsi="Noto Sans" w:cs="Noto Sans"/>
                <w:bCs/>
                <w:sz w:val="18"/>
                <w:szCs w:val="18"/>
              </w:rPr>
              <w:t>X</w:t>
            </w:r>
          </w:p>
        </w:tc>
      </w:tr>
      <w:tr w:rsidR="00C46212" w:rsidRPr="00C46212" w14:paraId="465EA241" w14:textId="77777777" w:rsidTr="00E753FB">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C46212" w:rsidRDefault="00F102CC">
            <w:pPr>
              <w:rPr>
                <w:rFonts w:ascii="Noto Sans" w:eastAsia="Noto Sans" w:hAnsi="Noto Sans" w:cs="Noto Sans"/>
                <w:b/>
                <w:sz w:val="18"/>
                <w:szCs w:val="18"/>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C46212" w:rsidRDefault="00427975">
            <w:pPr>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C46212" w:rsidRDefault="00427975">
            <w:pPr>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23672BFE" w14:textId="77777777" w:rsidTr="00E753F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777CAD75" w14:textId="77777777" w:rsidTr="00E753F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F934A2" w:rsidR="00F102CC" w:rsidRPr="00C46212" w:rsidRDefault="007157C6">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7D69208A" w14:textId="77777777" w:rsidTr="00E753F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Primary cultures: Provide species, strain, sex of origin, genetic modification status.</w:t>
            </w:r>
            <w:r w:rsidR="00C84413" w:rsidRPr="00C46212">
              <w:rPr>
                <w:rFonts w:ascii="Noto Sans" w:eastAsia="Noto Sans" w:hAnsi="Noto Sans" w:cs="Noto Sans"/>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83249A" w:rsidR="00F102CC" w:rsidRPr="00C46212" w:rsidRDefault="007157C6">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6599BE28" w14:textId="77777777" w:rsidTr="00E753F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C46212" w:rsidRDefault="00F102CC">
            <w:pPr>
              <w:rPr>
                <w:rFonts w:ascii="Noto Sans" w:eastAsia="Noto Sans" w:hAnsi="Noto Sans" w:cs="Noto Sans"/>
                <w:b/>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C46212" w:rsidRDefault="00427975">
            <w:pPr>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C46212" w:rsidRDefault="00427975">
            <w:pPr>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54EB4914" w14:textId="77777777" w:rsidTr="00E753F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6E88B7E5" w14:textId="77777777" w:rsidTr="00E753F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5576FC" w14:textId="7B641A99" w:rsidR="004D1400" w:rsidRPr="00C46212" w:rsidRDefault="00C46212" w:rsidP="004D1400">
            <w:pPr>
              <w:tabs>
                <w:tab w:val="left" w:pos="2700"/>
              </w:tabs>
              <w:autoSpaceDE w:val="0"/>
              <w:autoSpaceDN w:val="0"/>
              <w:adjustRightInd w:val="0"/>
              <w:rPr>
                <w:rFonts w:ascii="Noto Sans" w:hAnsi="Noto Sans" w:cs="Noto Sans"/>
                <w:sz w:val="18"/>
                <w:szCs w:val="18"/>
              </w:rPr>
            </w:pPr>
            <w:r w:rsidRPr="00C46212">
              <w:rPr>
                <w:rFonts w:ascii="Noto Sans" w:hAnsi="Noto Sans" w:cs="Noto Sans"/>
                <w:sz w:val="18"/>
                <w:szCs w:val="18"/>
              </w:rPr>
              <w:t>See Methods section entitled “Mice”</w:t>
            </w:r>
          </w:p>
          <w:p w14:paraId="228A64E8"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F0D2FC" w14:textId="77777777" w:rsidR="00E753FB" w:rsidRDefault="00E753FB" w:rsidP="00E753FB">
            <w:pPr>
              <w:rPr>
                <w:rFonts w:ascii="Noto Sans" w:eastAsia="Noto Sans" w:hAnsi="Noto Sans" w:cs="Noto Sans"/>
                <w:bCs/>
                <w:sz w:val="18"/>
                <w:szCs w:val="18"/>
              </w:rPr>
            </w:pPr>
            <w:r>
              <w:rPr>
                <w:rFonts w:ascii="Noto Sans" w:eastAsia="Noto Sans" w:hAnsi="Noto Sans" w:cs="Noto Sans"/>
                <w:bCs/>
                <w:sz w:val="18"/>
                <w:szCs w:val="18"/>
              </w:rPr>
              <w:t>X</w:t>
            </w:r>
          </w:p>
          <w:p w14:paraId="324DD247" w14:textId="3A6FDEB8" w:rsidR="00F102CC" w:rsidRPr="00C46212" w:rsidRDefault="00F102CC">
            <w:pPr>
              <w:rPr>
                <w:rFonts w:ascii="Noto Sans" w:eastAsia="Noto Sans" w:hAnsi="Noto Sans" w:cs="Noto Sans"/>
                <w:bCs/>
                <w:sz w:val="18"/>
                <w:szCs w:val="18"/>
              </w:rPr>
            </w:pPr>
          </w:p>
        </w:tc>
      </w:tr>
      <w:tr w:rsidR="00C46212" w:rsidRPr="00C46212" w14:paraId="6BA0CC77" w14:textId="77777777" w:rsidTr="00E753F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59D484A" w:rsidR="00F102CC" w:rsidRPr="00C46212" w:rsidRDefault="00C46212">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639E7FE9" w14:textId="77777777" w:rsidTr="00E753F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C46212" w:rsidRDefault="00F102CC">
            <w:pPr>
              <w:rPr>
                <w:rFonts w:ascii="Noto Sans" w:eastAsia="Noto Sans" w:hAnsi="Noto Sans" w:cs="Noto Sans"/>
                <w:b/>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C46212" w:rsidRDefault="00427975">
            <w:pPr>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C46212" w:rsidRDefault="00427975">
            <w:pPr>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18855AA1" w14:textId="77777777" w:rsidTr="00E753F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648DA1AA" w14:textId="77777777" w:rsidTr="00E753F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2CB9D5" w:rsidR="00F102CC" w:rsidRPr="00C46212" w:rsidRDefault="00C46212">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5468CA71" w14:textId="77777777" w:rsidTr="00E753F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D930F49" w:rsidR="00F102CC" w:rsidRPr="00C46212" w:rsidRDefault="00C46212">
            <w:pPr>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7D75567E" w14:textId="77777777" w:rsidTr="00E753F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C46212" w:rsidRDefault="00F102CC">
            <w:pPr>
              <w:spacing w:line="225" w:lineRule="auto"/>
              <w:rPr>
                <w:rFonts w:ascii="Noto Sans" w:eastAsia="Noto Sans" w:hAnsi="Noto Sans" w:cs="Noto Sans"/>
                <w:b/>
                <w:sz w:val="18"/>
                <w:szCs w:val="18"/>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C46212" w:rsidRDefault="00427975">
            <w:pPr>
              <w:ind w:left="4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C46212" w:rsidRDefault="00427975">
            <w:pPr>
              <w:ind w:left="40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1AC6616D" w14:textId="77777777" w:rsidTr="00E753FB">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F102CC" w:rsidRPr="00C46212" w14:paraId="0A22D679" w14:textId="77777777" w:rsidTr="00E753FB">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C46212" w:rsidRDefault="00427975">
            <w:pPr>
              <w:spacing w:line="225" w:lineRule="auto"/>
              <w:rPr>
                <w:rFonts w:ascii="Noto Sans" w:eastAsia="Noto Sans" w:hAnsi="Noto Sans" w:cs="Noto Sans"/>
                <w:sz w:val="18"/>
                <w:szCs w:val="18"/>
              </w:rPr>
            </w:pPr>
            <w:r w:rsidRPr="00C46212">
              <w:rPr>
                <w:rFonts w:ascii="Noto Sans" w:eastAsia="Noto Sans" w:hAnsi="Noto Sans" w:cs="Noto Sans"/>
                <w:sz w:val="18"/>
                <w:szCs w:val="18"/>
              </w:rPr>
              <w:t>If collected and within the bounds of privacy constraints report on age, sex</w:t>
            </w:r>
            <w:r w:rsidR="00A11E52" w:rsidRPr="00C46212">
              <w:rPr>
                <w:rFonts w:ascii="Noto Sans" w:eastAsia="Noto Sans" w:hAnsi="Noto Sans" w:cs="Noto Sans"/>
                <w:sz w:val="18"/>
                <w:szCs w:val="18"/>
              </w:rPr>
              <w:t xml:space="preserve">, </w:t>
            </w:r>
            <w:r w:rsidRPr="00C46212">
              <w:rPr>
                <w:rFonts w:ascii="Noto Sans" w:eastAsia="Noto Sans" w:hAnsi="Noto Sans" w:cs="Noto Sans"/>
                <w:sz w:val="18"/>
                <w:szCs w:val="18"/>
              </w:rPr>
              <w:t xml:space="preserve">gender </w:t>
            </w:r>
            <w:r w:rsidR="00A11E52" w:rsidRPr="00C46212">
              <w:rPr>
                <w:rFonts w:ascii="Noto Sans" w:eastAsia="Noto Sans" w:hAnsi="Noto Sans" w:cs="Noto Sans"/>
                <w:sz w:val="18"/>
                <w:szCs w:val="18"/>
              </w:rPr>
              <w:t>and</w:t>
            </w:r>
            <w:r w:rsidRPr="00C46212">
              <w:rPr>
                <w:rFonts w:ascii="Noto Sans" w:eastAsia="Noto Sans" w:hAnsi="Noto Sans" w:cs="Noto Sans"/>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C46212" w:rsidRDefault="00F102CC">
            <w:pPr>
              <w:rPr>
                <w:rFonts w:ascii="Noto Sans" w:eastAsia="Noto Sans" w:hAnsi="Noto Sans" w:cs="Noto Sans"/>
                <w:bCs/>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09A5EC" w:rsidR="00F102CC" w:rsidRPr="00C46212" w:rsidRDefault="00C46212">
            <w:pPr>
              <w:rPr>
                <w:rFonts w:ascii="Noto Sans" w:eastAsia="Noto Sans" w:hAnsi="Noto Sans" w:cs="Noto Sans"/>
                <w:b/>
                <w:sz w:val="18"/>
                <w:szCs w:val="18"/>
              </w:rPr>
            </w:pPr>
            <w:r w:rsidRPr="00C46212">
              <w:rPr>
                <w:rFonts w:ascii="Noto Sans" w:eastAsia="Noto Sans" w:hAnsi="Noto Sans" w:cs="Noto Sans"/>
                <w:b/>
                <w:sz w:val="18"/>
                <w:szCs w:val="18"/>
              </w:rPr>
              <w:t>N/A</w:t>
            </w:r>
          </w:p>
        </w:tc>
      </w:tr>
    </w:tbl>
    <w:p w14:paraId="758A97A0" w14:textId="77777777" w:rsidR="00F102CC" w:rsidRPr="00C46212" w:rsidRDefault="00F102CC">
      <w:pPr>
        <w:spacing w:before="80" w:line="227" w:lineRule="auto"/>
        <w:rPr>
          <w:rFonts w:ascii="Noto Sans" w:eastAsia="Noto Sans" w:hAnsi="Noto Sans" w:cs="Noto Sans"/>
          <w:b/>
          <w:sz w:val="18"/>
          <w:szCs w:val="18"/>
          <w:u w:val="single"/>
        </w:rPr>
      </w:pPr>
    </w:p>
    <w:p w14:paraId="60E7D3C1" w14:textId="77777777" w:rsidR="00F102CC" w:rsidRPr="00C46212" w:rsidRDefault="00427975">
      <w:pPr>
        <w:spacing w:before="80" w:line="227" w:lineRule="auto"/>
        <w:rPr>
          <w:rFonts w:ascii="Noto Sans" w:eastAsia="Noto Sans" w:hAnsi="Noto Sans" w:cs="Noto Sans"/>
          <w:b/>
          <w:sz w:val="18"/>
          <w:szCs w:val="18"/>
        </w:rPr>
      </w:pPr>
      <w:bookmarkStart w:id="1" w:name="_ff5b8dustxkx" w:colFirst="0" w:colLast="0"/>
      <w:bookmarkEnd w:id="1"/>
      <w:r w:rsidRPr="00C46212">
        <w:rPr>
          <w:rFonts w:ascii="Noto Sans" w:eastAsia="Noto Sans" w:hAnsi="Noto Sans" w:cs="Noto Sans"/>
          <w:b/>
          <w:sz w:val="18"/>
          <w:szCs w:val="18"/>
        </w:rPr>
        <w:t>Design:</w:t>
      </w:r>
    </w:p>
    <w:p w14:paraId="38B36C0E" w14:textId="77777777" w:rsidR="00F102CC" w:rsidRPr="00C46212" w:rsidRDefault="00427975">
      <w:pPr>
        <w:spacing w:line="227" w:lineRule="auto"/>
        <w:rPr>
          <w:rFonts w:ascii="Noto Sans" w:eastAsia="Noto Sans" w:hAnsi="Noto Sans" w:cs="Noto Sans"/>
          <w:b/>
          <w:sz w:val="18"/>
          <w:szCs w:val="18"/>
        </w:rPr>
      </w:pPr>
      <w:r w:rsidRPr="00C46212">
        <w:rPr>
          <w:rFonts w:ascii="Noto Sans" w:eastAsia="Noto Sans" w:hAnsi="Noto Sans" w:cs="Noto Sans"/>
          <w:b/>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C46212" w:rsidRPr="00C46212" w14:paraId="449C5579" w14:textId="77777777" w:rsidTr="005718BD">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4349644E" w14:textId="77777777" w:rsidTr="005718BD">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C46212"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DC58B4" w:rsidR="00F102CC" w:rsidRPr="00C46212" w:rsidRDefault="00C4621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6BDD29B4" w14:textId="77777777" w:rsidTr="005718BD">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C46212" w:rsidRDefault="00F102CC">
            <w:pPr>
              <w:rPr>
                <w:rFonts w:ascii="Noto Sans" w:eastAsia="Noto Sans" w:hAnsi="Noto Sans" w:cs="Noto Sans"/>
                <w:b/>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7470366C" w14:textId="77777777" w:rsidTr="005718BD">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430321EC" w14:textId="77777777" w:rsidTr="005718BD">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C46212"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DC01BF" w:rsidR="00F102CC" w:rsidRPr="00C46212" w:rsidRDefault="000970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2C685749" w14:textId="77777777" w:rsidTr="005718BD">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C46212" w:rsidRDefault="00F102CC">
            <w:pPr>
              <w:rPr>
                <w:rFonts w:ascii="Noto Sans" w:eastAsia="Noto Sans" w:hAnsi="Noto Sans" w:cs="Noto Sans"/>
                <w:b/>
                <w:sz w:val="18"/>
                <w:szCs w:val="18"/>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461F576B" w14:textId="77777777" w:rsidTr="005718BD">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 xml:space="preserve">Experimental study design (statistics </w:t>
            </w:r>
            <w:r w:rsidR="001B3BCC" w:rsidRPr="00C46212">
              <w:rPr>
                <w:rFonts w:ascii="Noto Sans" w:eastAsia="Noto Sans" w:hAnsi="Noto Sans" w:cs="Noto Sans"/>
                <w:b/>
                <w:sz w:val="18"/>
                <w:szCs w:val="18"/>
              </w:rPr>
              <w:t>details) *</w:t>
            </w:r>
          </w:p>
        </w:tc>
      </w:tr>
      <w:tr w:rsidR="00C46212" w:rsidRPr="00C46212" w14:paraId="6394CD84" w14:textId="77777777" w:rsidTr="005718BD">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7896DF55" w14:textId="77777777" w:rsidTr="005718BD">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1B92148" w:rsidR="00F102CC" w:rsidRPr="00C46212" w:rsidRDefault="000970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5C438" w14:textId="77777777" w:rsidR="00E753FB" w:rsidRDefault="00E753FB" w:rsidP="00E753FB">
            <w:pPr>
              <w:rPr>
                <w:rFonts w:ascii="Noto Sans" w:eastAsia="Noto Sans" w:hAnsi="Noto Sans" w:cs="Noto Sans"/>
                <w:bCs/>
                <w:sz w:val="18"/>
                <w:szCs w:val="18"/>
              </w:rPr>
            </w:pPr>
            <w:r>
              <w:rPr>
                <w:rFonts w:ascii="Noto Sans" w:eastAsia="Noto Sans" w:hAnsi="Noto Sans" w:cs="Noto Sans"/>
                <w:bCs/>
                <w:sz w:val="18"/>
                <w:szCs w:val="18"/>
              </w:rPr>
              <w:t>X</w:t>
            </w:r>
          </w:p>
          <w:p w14:paraId="46C46D03" w14:textId="63248328" w:rsidR="00F102CC" w:rsidRPr="00C46212" w:rsidRDefault="00F102CC">
            <w:pPr>
              <w:spacing w:line="225" w:lineRule="auto"/>
              <w:rPr>
                <w:rFonts w:ascii="Noto Sans" w:eastAsia="Noto Sans" w:hAnsi="Noto Sans" w:cs="Noto Sans"/>
                <w:bCs/>
                <w:sz w:val="18"/>
                <w:szCs w:val="18"/>
              </w:rPr>
            </w:pPr>
          </w:p>
        </w:tc>
      </w:tr>
      <w:tr w:rsidR="00C46212" w:rsidRPr="00C46212" w14:paraId="640B934F" w14:textId="77777777" w:rsidTr="005718BD">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C46212" w:rsidRDefault="00427975">
            <w:pPr>
              <w:rPr>
                <w:rFonts w:ascii="Noto Sans" w:eastAsia="Noto Sans" w:hAnsi="Noto Sans" w:cs="Noto Sans"/>
                <w:sz w:val="18"/>
                <w:szCs w:val="18"/>
              </w:rPr>
            </w:pPr>
            <w:proofErr w:type="spellStart"/>
            <w:r w:rsidRPr="00C46212">
              <w:rPr>
                <w:rFonts w:ascii="Noto Sans" w:eastAsia="Noto Sans" w:hAnsi="Noto Sans" w:cs="Noto Sans"/>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34261F8" w:rsidR="00F102CC" w:rsidRPr="00C46212" w:rsidRDefault="000970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1CA8DE"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1DB5D726" w14:textId="0AC884BA" w:rsidR="00F102CC" w:rsidRPr="00C46212" w:rsidRDefault="00F102CC">
            <w:pPr>
              <w:spacing w:line="225" w:lineRule="auto"/>
              <w:rPr>
                <w:rFonts w:ascii="Noto Sans" w:eastAsia="Noto Sans" w:hAnsi="Noto Sans" w:cs="Noto Sans"/>
                <w:b/>
                <w:sz w:val="18"/>
                <w:szCs w:val="18"/>
              </w:rPr>
            </w:pPr>
          </w:p>
        </w:tc>
      </w:tr>
      <w:tr w:rsidR="00C46212" w:rsidRPr="00C46212" w14:paraId="6EEAB134" w14:textId="77777777" w:rsidTr="005718BD">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4B5455C" w:rsidR="00F102CC" w:rsidRPr="00C46212" w:rsidRDefault="000970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5326F"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27AE9083" w14:textId="49989C53" w:rsidR="00F102CC" w:rsidRPr="00C46212" w:rsidRDefault="00F102CC">
            <w:pPr>
              <w:spacing w:line="225" w:lineRule="auto"/>
              <w:rPr>
                <w:rFonts w:ascii="Noto Sans" w:eastAsia="Noto Sans" w:hAnsi="Noto Sans" w:cs="Noto Sans"/>
                <w:bCs/>
                <w:sz w:val="18"/>
                <w:szCs w:val="18"/>
              </w:rPr>
            </w:pPr>
          </w:p>
        </w:tc>
      </w:tr>
      <w:tr w:rsidR="00C46212" w:rsidRPr="00C46212" w14:paraId="0AB73282" w14:textId="77777777" w:rsidTr="005718BD">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327ADE" w:rsidR="00F102CC" w:rsidRPr="00C46212" w:rsidRDefault="000970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See the methods section entitled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7E4B86"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41057DC8" w14:textId="7EB2044D" w:rsidR="00F102CC" w:rsidRPr="00C46212" w:rsidRDefault="00F102CC">
            <w:pPr>
              <w:spacing w:line="225" w:lineRule="auto"/>
              <w:rPr>
                <w:rFonts w:ascii="Noto Sans" w:eastAsia="Noto Sans" w:hAnsi="Noto Sans" w:cs="Noto Sans"/>
                <w:bCs/>
                <w:sz w:val="18"/>
                <w:szCs w:val="18"/>
              </w:rPr>
            </w:pPr>
          </w:p>
        </w:tc>
      </w:tr>
      <w:tr w:rsidR="00C46212" w:rsidRPr="00C46212" w14:paraId="14D7061B" w14:textId="77777777" w:rsidTr="005718BD">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C46212" w:rsidRDefault="00F102CC">
            <w:pPr>
              <w:rPr>
                <w:rFonts w:ascii="Noto Sans" w:eastAsia="Noto Sans" w:hAnsi="Noto Sans" w:cs="Noto Sans"/>
                <w:b/>
                <w:sz w:val="18"/>
                <w:szCs w:val="18"/>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6A159F8E" w14:textId="77777777" w:rsidTr="005718BD">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6D87191A" w14:textId="77777777" w:rsidTr="005718BD">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highlight w:val="white"/>
              </w:rPr>
              <w:t>State number of times the experiment was replicated in the laboratory</w:t>
            </w:r>
            <w:r w:rsidRPr="00C46212">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E61D4C" w:rsidR="00F102CC" w:rsidRPr="00C46212" w:rsidRDefault="00AC062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 xml:space="preserve">Figure legends describe </w:t>
            </w:r>
            <w:r w:rsidR="001C7C39" w:rsidRPr="00C46212">
              <w:rPr>
                <w:rFonts w:ascii="Noto Sans" w:eastAsia="Noto Sans" w:hAnsi="Noto Sans" w:cs="Noto Sans"/>
                <w:bCs/>
                <w:sz w:val="18"/>
                <w:szCs w:val="18"/>
              </w:rPr>
              <w:t>replicates and sample sizes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484C0"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608BC811" w14:textId="0E5BEA3F" w:rsidR="00F102CC" w:rsidRPr="00C46212" w:rsidRDefault="00F102CC">
            <w:pPr>
              <w:spacing w:line="225" w:lineRule="auto"/>
              <w:rPr>
                <w:rFonts w:ascii="Noto Sans" w:eastAsia="Noto Sans" w:hAnsi="Noto Sans" w:cs="Noto Sans"/>
                <w:bCs/>
                <w:sz w:val="18"/>
                <w:szCs w:val="18"/>
              </w:rPr>
            </w:pPr>
          </w:p>
        </w:tc>
      </w:tr>
      <w:tr w:rsidR="00C46212" w:rsidRPr="00C46212" w14:paraId="3646923A" w14:textId="77777777" w:rsidTr="005718BD">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highlight w:val="white"/>
              </w:rPr>
              <w:t>Define whether data describe technical or biological replicates</w:t>
            </w:r>
            <w:r w:rsidRPr="00C46212">
              <w:rPr>
                <w:rFonts w:ascii="Noto Sans" w:eastAsia="Noto Sans" w:hAnsi="Noto Sans" w:cs="Noto Sans"/>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7C73B0" w:rsidR="00F102CC" w:rsidRPr="00C46212" w:rsidRDefault="001C7C39">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Figure legends describe replicates and sample sizes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50599"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2233BF82" w14:textId="7736387E" w:rsidR="00F102CC" w:rsidRPr="00C46212" w:rsidRDefault="00F102CC">
            <w:pPr>
              <w:spacing w:line="225" w:lineRule="auto"/>
              <w:rPr>
                <w:rFonts w:ascii="Noto Sans" w:eastAsia="Noto Sans" w:hAnsi="Noto Sans" w:cs="Noto Sans"/>
                <w:bCs/>
                <w:sz w:val="18"/>
                <w:szCs w:val="18"/>
              </w:rPr>
            </w:pPr>
          </w:p>
        </w:tc>
      </w:tr>
      <w:tr w:rsidR="00C46212" w:rsidRPr="00C46212" w14:paraId="7376923B" w14:textId="77777777" w:rsidTr="005718BD">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C46212" w:rsidRDefault="00F102CC">
            <w:pPr>
              <w:rPr>
                <w:rFonts w:ascii="Noto Sans" w:eastAsia="Noto Sans" w:hAnsi="Noto Sans" w:cs="Noto Sans"/>
                <w:b/>
                <w:sz w:val="18"/>
                <w:szCs w:val="18"/>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27C0F91B" w14:textId="77777777" w:rsidTr="005718BD">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74D0DBB2" w14:textId="77777777" w:rsidTr="005718BD">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Pr="00C46212" w:rsidRDefault="00F102CC">
            <w:pPr>
              <w:spacing w:line="225" w:lineRule="auto"/>
              <w:rPr>
                <w:rFonts w:ascii="Noto Sans" w:eastAsia="Noto Sans" w:hAnsi="Noto Sans" w:cs="Noto Sans"/>
                <w:b/>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C3546D" w:rsidR="00F102CC" w:rsidRPr="00C46212" w:rsidRDefault="001F2DB1">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76515406" w14:textId="77777777" w:rsidTr="005718BD">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167D0" w14:textId="77777777" w:rsidR="00D421D2" w:rsidRPr="00C46212" w:rsidRDefault="00D421D2" w:rsidP="00D421D2">
            <w:pPr>
              <w:pStyle w:val="paragraph"/>
              <w:spacing w:before="0" w:beforeAutospacing="0" w:after="0" w:afterAutospacing="0"/>
              <w:textAlignment w:val="baseline"/>
              <w:rPr>
                <w:rStyle w:val="normaltextrun"/>
                <w:rFonts w:ascii="Noto Sans" w:hAnsi="Noto Sans" w:cs="Noto Sans"/>
                <w:sz w:val="18"/>
                <w:szCs w:val="18"/>
                <w:shd w:val="clear" w:color="auto" w:fill="FFFFFF"/>
              </w:rPr>
            </w:pPr>
            <w:r w:rsidRPr="00C46212">
              <w:rPr>
                <w:rStyle w:val="normaltextrun"/>
                <w:rFonts w:ascii="Noto Sans" w:hAnsi="Noto Sans" w:cs="Noto Sans"/>
                <w:sz w:val="18"/>
                <w:szCs w:val="18"/>
                <w:shd w:val="clear" w:color="auto" w:fill="FFFFFF"/>
              </w:rPr>
              <w:t>All animal experiments were conducted following study protocols and procedures reviewed and approved by Pfizer Institutional Animal Care and Use Committee. The facilities that supported this work are fully accredited by AAALAC International. </w:t>
            </w:r>
          </w:p>
          <w:p w14:paraId="2A6BA9BD" w14:textId="77777777" w:rsidR="00F102CC" w:rsidRPr="00C46212"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19C70E"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7F5B8D86" w14:textId="189E6E70" w:rsidR="00F102CC" w:rsidRPr="00C46212" w:rsidRDefault="00F102CC">
            <w:pPr>
              <w:spacing w:line="225" w:lineRule="auto"/>
              <w:rPr>
                <w:rFonts w:ascii="Noto Sans" w:eastAsia="Noto Sans" w:hAnsi="Noto Sans" w:cs="Noto Sans"/>
                <w:bCs/>
                <w:sz w:val="18"/>
                <w:szCs w:val="18"/>
              </w:rPr>
            </w:pPr>
          </w:p>
        </w:tc>
      </w:tr>
      <w:tr w:rsidR="00C46212" w:rsidRPr="00C46212" w14:paraId="5D62888E" w14:textId="77777777" w:rsidTr="005718BD">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C46212"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E008BAD" w:rsidR="00F102CC" w:rsidRPr="00C46212" w:rsidRDefault="00D421D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79A7C842" w14:textId="77777777" w:rsidTr="005718BD">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C46212" w:rsidRDefault="00F102CC">
            <w:pPr>
              <w:rPr>
                <w:rFonts w:ascii="Noto Sans" w:eastAsia="Noto Sans" w:hAnsi="Noto Sans" w:cs="Noto Sans"/>
                <w:b/>
                <w:sz w:val="18"/>
                <w:szCs w:val="18"/>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43B5D416" w14:textId="77777777" w:rsidTr="005718BD">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F102CC" w:rsidRPr="00C46212" w14:paraId="6CFA41C1" w14:textId="77777777" w:rsidTr="005718BD">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If</w:t>
            </w:r>
            <w:r w:rsidRPr="00C46212">
              <w:rPr>
                <w:rFonts w:ascii="Noto Sans" w:eastAsia="Noto Sans" w:hAnsi="Noto Sans" w:cs="Noto Sans"/>
                <w:sz w:val="18"/>
                <w:szCs w:val="18"/>
                <w:highlight w:val="white"/>
              </w:rPr>
              <w:t xml:space="preserve"> study is subject to dual use research of concern regulations, state </w:t>
            </w:r>
            <w:r w:rsidRPr="00C46212">
              <w:rPr>
                <w:rFonts w:ascii="Noto Sans" w:eastAsia="Noto Sans" w:hAnsi="Noto Sans" w:cs="Noto Sans"/>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C46212" w:rsidRDefault="00F102CC">
            <w:pPr>
              <w:spacing w:line="225" w:lineRule="auto"/>
              <w:rPr>
                <w:rFonts w:ascii="Noto Sans" w:eastAsia="Noto Sans" w:hAnsi="Noto Sans" w:cs="Noto Sans"/>
                <w:bCs/>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B4B3AA8" w:rsidR="00F102CC" w:rsidRPr="00C46212" w:rsidRDefault="00904946">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bl>
    <w:p w14:paraId="57B9765C" w14:textId="77777777" w:rsidR="00F102CC" w:rsidRPr="00C46212" w:rsidRDefault="00F102CC">
      <w:pPr>
        <w:spacing w:line="227" w:lineRule="auto"/>
        <w:rPr>
          <w:rFonts w:ascii="Noto Sans" w:eastAsia="Noto Sans" w:hAnsi="Noto Sans" w:cs="Noto Sans"/>
          <w:b/>
          <w:sz w:val="18"/>
          <w:szCs w:val="18"/>
        </w:rPr>
      </w:pPr>
    </w:p>
    <w:p w14:paraId="00FE7AF9" w14:textId="77777777" w:rsidR="00F102CC" w:rsidRPr="00C46212" w:rsidRDefault="00427975">
      <w:pPr>
        <w:spacing w:before="60" w:line="227" w:lineRule="auto"/>
        <w:rPr>
          <w:rFonts w:ascii="Noto Sans" w:eastAsia="Noto Sans" w:hAnsi="Noto Sans" w:cs="Noto Sans"/>
          <w:b/>
          <w:sz w:val="18"/>
          <w:szCs w:val="18"/>
        </w:rPr>
      </w:pPr>
      <w:r w:rsidRPr="00C46212">
        <w:rPr>
          <w:rFonts w:ascii="Noto Sans" w:eastAsia="Noto Sans" w:hAnsi="Noto Sans" w:cs="Noto Sans"/>
          <w:b/>
          <w:sz w:val="18"/>
          <w:szCs w:val="18"/>
        </w:rPr>
        <w:t>Analysis:</w:t>
      </w:r>
    </w:p>
    <w:p w14:paraId="3DC043E0" w14:textId="77777777" w:rsidR="00F102CC" w:rsidRPr="00C46212" w:rsidRDefault="00427975">
      <w:pPr>
        <w:spacing w:line="227" w:lineRule="auto"/>
        <w:rPr>
          <w:rFonts w:ascii="Noto Sans" w:eastAsia="Noto Sans" w:hAnsi="Noto Sans" w:cs="Noto Sans"/>
          <w:b/>
          <w:sz w:val="18"/>
          <w:szCs w:val="18"/>
        </w:rPr>
      </w:pPr>
      <w:r w:rsidRPr="00C46212">
        <w:rPr>
          <w:rFonts w:ascii="Noto Sans" w:eastAsia="Noto Sans" w:hAnsi="Noto Sans" w:cs="Noto Sans"/>
          <w:b/>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C46212" w:rsidRPr="00C46212" w14:paraId="34F8292A" w14:textId="77777777" w:rsidTr="005718BD">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7D8BFA16" w14:textId="77777777" w:rsidTr="005718BD">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CB18C2" w:rsidR="00F102CC" w:rsidRPr="00C46212" w:rsidRDefault="00934B55">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All data generated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40A65"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1F182D3B" w14:textId="332782CB" w:rsidR="00F102CC" w:rsidRPr="00C46212" w:rsidRDefault="00F102CC">
            <w:pPr>
              <w:spacing w:line="225" w:lineRule="auto"/>
              <w:rPr>
                <w:rFonts w:ascii="Noto Sans" w:eastAsia="Noto Sans" w:hAnsi="Noto Sans" w:cs="Noto Sans"/>
                <w:bCs/>
                <w:sz w:val="18"/>
                <w:szCs w:val="18"/>
              </w:rPr>
            </w:pPr>
          </w:p>
        </w:tc>
      </w:tr>
      <w:tr w:rsidR="00C46212" w:rsidRPr="00C46212" w14:paraId="3864D7CC" w14:textId="77777777" w:rsidTr="005718B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C46212" w:rsidRDefault="00F102CC">
            <w:pPr>
              <w:rPr>
                <w:rFonts w:ascii="Noto Sans" w:eastAsia="Noto Sans" w:hAnsi="Noto Sans" w:cs="Noto Sans"/>
                <w:b/>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484C2955" w14:textId="77777777" w:rsidTr="005718BD">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1A23E7D2" w14:textId="77777777" w:rsidTr="005718BD">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13E153" w:rsidR="00F102CC" w:rsidRPr="00C46212" w:rsidRDefault="00D902FE">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See the Methods section entitled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4D123"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3331D778" w14:textId="0DD16E5B" w:rsidR="00F102CC" w:rsidRPr="00C46212" w:rsidRDefault="00F102CC">
            <w:pPr>
              <w:spacing w:line="225" w:lineRule="auto"/>
              <w:rPr>
                <w:rFonts w:ascii="Noto Sans" w:eastAsia="Noto Sans" w:hAnsi="Noto Sans" w:cs="Noto Sans"/>
                <w:bCs/>
                <w:sz w:val="18"/>
                <w:szCs w:val="18"/>
              </w:rPr>
            </w:pPr>
          </w:p>
        </w:tc>
      </w:tr>
      <w:tr w:rsidR="00C46212" w:rsidRPr="00C46212" w14:paraId="208D42A1" w14:textId="77777777" w:rsidTr="005718B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C46212" w:rsidRDefault="00F102CC">
            <w:pPr>
              <w:rPr>
                <w:rFonts w:ascii="Noto Sans" w:eastAsia="Noto Sans" w:hAnsi="Noto Sans" w:cs="Noto Sans"/>
                <w:b/>
                <w:sz w:val="18"/>
                <w:szCs w:val="18"/>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582AED4B" w14:textId="77777777" w:rsidTr="005718BD">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52659522" w14:textId="77777777" w:rsidTr="005718BD">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2C23700" w:rsidR="00F102CC" w:rsidRPr="00C46212" w:rsidRDefault="00904946">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All data associated with this study are present in the paper and Supplementary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A469D8"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12DD6482" w14:textId="36834CE9" w:rsidR="00F102CC" w:rsidRPr="00C46212" w:rsidRDefault="00F102CC">
            <w:pPr>
              <w:spacing w:line="225" w:lineRule="auto"/>
              <w:rPr>
                <w:rFonts w:ascii="Noto Sans" w:eastAsia="Noto Sans" w:hAnsi="Noto Sans" w:cs="Noto Sans"/>
                <w:bCs/>
                <w:sz w:val="18"/>
                <w:szCs w:val="18"/>
              </w:rPr>
            </w:pPr>
          </w:p>
        </w:tc>
      </w:tr>
      <w:tr w:rsidR="00C46212" w:rsidRPr="00C46212" w14:paraId="2BD96493" w14:textId="77777777" w:rsidTr="005718BD">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C46212" w:rsidRDefault="00427975">
            <w:pPr>
              <w:rPr>
                <w:rFonts w:ascii="Noto Sans" w:eastAsia="Noto Sans" w:hAnsi="Noto Sans" w:cs="Noto Sans"/>
                <w:sz w:val="18"/>
                <w:szCs w:val="18"/>
                <w:highlight w:val="white"/>
              </w:rPr>
            </w:pPr>
            <w:r w:rsidRPr="00C46212">
              <w:rPr>
                <w:rFonts w:ascii="Noto Sans" w:eastAsia="Noto Sans" w:hAnsi="Noto Sans" w:cs="Noto Sans"/>
                <w:sz w:val="18"/>
                <w:szCs w:val="18"/>
                <w:highlight w:val="white"/>
              </w:rPr>
              <w:t xml:space="preserve">When newly created datasets are publicly available, provide accession number in repository OR DOI and licensing details </w:t>
            </w:r>
            <w:proofErr w:type="spellStart"/>
            <w:r w:rsidRPr="00C46212">
              <w:rPr>
                <w:rFonts w:ascii="Noto Sans" w:eastAsia="Noto Sans" w:hAnsi="Noto Sans" w:cs="Noto Sans"/>
                <w:sz w:val="18"/>
                <w:szCs w:val="18"/>
                <w:highlight w:val="white"/>
              </w:rPr>
              <w:t>where</w:t>
            </w:r>
            <w:proofErr w:type="spellEnd"/>
            <w:r w:rsidRPr="00C46212">
              <w:rPr>
                <w:rFonts w:ascii="Noto Sans" w:eastAsia="Noto Sans" w:hAnsi="Noto Sans" w:cs="Noto Sans"/>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2351BB3" w:rsidR="00F102CC" w:rsidRPr="00C46212" w:rsidRDefault="00EF78F2">
            <w:pPr>
              <w:spacing w:line="225" w:lineRule="auto"/>
              <w:rPr>
                <w:rFonts w:ascii="Noto Sans" w:eastAsia="Noto Sans" w:hAnsi="Noto Sans" w:cs="Noto Sans"/>
                <w:bCs/>
                <w:sz w:val="18"/>
                <w:szCs w:val="18"/>
              </w:rPr>
            </w:pPr>
            <w:r w:rsidRPr="00C46212">
              <w:rPr>
                <w:rFonts w:ascii="Noto Sans" w:hAnsi="Noto Sans" w:cs="Noto Sans"/>
                <w:sz w:val="18"/>
                <w:szCs w:val="18"/>
              </w:rPr>
              <w:t xml:space="preserve">The data discussed in this publication have been deposited in NCBI’s Gene Expression Omnibus </w:t>
            </w:r>
            <w:r w:rsidRPr="00C46212">
              <w:rPr>
                <w:rFonts w:ascii="Noto Sans" w:hAnsi="Noto Sans" w:cs="Noto Sans"/>
                <w:sz w:val="18"/>
                <w:szCs w:val="18"/>
              </w:rPr>
              <w:fldChar w:fldCharType="begin"/>
            </w:r>
            <w:r w:rsidRPr="00C46212">
              <w:rPr>
                <w:rFonts w:ascii="Noto Sans" w:hAnsi="Noto Sans" w:cs="Noto Sans"/>
                <w:sz w:val="18"/>
                <w:szCs w:val="18"/>
              </w:rPr>
              <w:instrText xml:space="preserve"> ADDIN EN.CITE &lt;EndNote&gt;&lt;Cite&gt;&lt;Author&gt;Edgar&lt;/Author&gt;&lt;Year&gt;2002&lt;/Year&gt;&lt;RecNum&gt;173&lt;/RecNum&gt;&lt;DisplayText&gt;(Edgar, Domrachev, &amp;amp; Lash, 2002)&lt;/DisplayText&gt;&lt;record&gt;&lt;rec-number&gt;173&lt;/rec-number&gt;&lt;foreign-keys&gt;&lt;key app="EN" db-id="pazfaxfxkppwr0ewp0f5a5viasevwa0aezwf" timestamp="1698668730"&gt;173&lt;/key&gt;&lt;/foreign-keys&gt;&lt;ref-type name="Journal Article"&gt;17&lt;/ref-type&gt;&lt;contributors&gt;&lt;authors&gt;&lt;author&gt;Edgar, R.&lt;/author&gt;&lt;author&gt;Domrachev, M.&lt;/author&gt;&lt;author&gt;Lash, A. E.&lt;/author&gt;&lt;/authors&gt;&lt;/contributors&gt;&lt;auth-address&gt;National Center for Biotechnology Information, National Library of Medicine, National Institutes of Health, Lister Hill Center, 8600 Rockville Pike, Bethesda, MD 20894, USA.&lt;/auth-address&gt;&lt;titles&gt;&lt;title&gt;Gene Expression Omnibus: NCBI gene expression and hybridization array data repository&lt;/title&gt;&lt;secondary-title&gt;Nucleic Acids Res&lt;/secondary-title&gt;&lt;/titles&gt;&lt;periodical&gt;&lt;full-title&gt;Nucleic Acids Res&lt;/full-title&gt;&lt;/periodical&gt;&lt;pages&gt;207-10&lt;/pages&gt;&lt;volume&gt;30&lt;/volume&gt;&lt;number&gt;1&lt;/number&gt;&lt;keywords&gt;&lt;keyword&gt;Animals&lt;/keyword&gt;&lt;keyword&gt;Communication&lt;/keyword&gt;&lt;keyword&gt;Database Management Systems&lt;/keyword&gt;&lt;keyword&gt;*Databases, Genetic&lt;/keyword&gt;&lt;keyword&gt;Forecasting&lt;/keyword&gt;&lt;keyword&gt;*Gene Expression Profiling&lt;/keyword&gt;&lt;keyword&gt;Genome&lt;/keyword&gt;&lt;keyword&gt;Humans&lt;/keyword&gt;&lt;keyword&gt;Information Storage and Retrieval&lt;/keyword&gt;&lt;keyword&gt;Internet&lt;/keyword&gt;&lt;keyword&gt;National Library of Medicine (U.S.)&lt;/keyword&gt;&lt;keyword&gt;*Oligonucleotide Array Sequence Analysis&lt;/keyword&gt;&lt;keyword&gt;United States&lt;/keyword&gt;&lt;/keywords&gt;&lt;dates&gt;&lt;year&gt;2002&lt;/year&gt;&lt;pub-dates&gt;&lt;date&gt;Jan 1&lt;/date&gt;&lt;/pub-dates&gt;&lt;/dates&gt;&lt;isbn&gt;1362-4962 (Electronic)&amp;#xD;0305-1048 (Print)&amp;#xD;0305-1048 (Linking)&lt;/isbn&gt;&lt;accession-num&gt;11752295&lt;/accession-num&gt;&lt;urls&gt;&lt;related-urls&gt;&lt;url&gt;https://www.ncbi.nlm.nih.gov/pubmed/11752295&lt;/url&gt;&lt;/related-urls&gt;&lt;/urls&gt;&lt;custom2&gt;PMC99122&lt;/custom2&gt;&lt;electronic-resource-num&gt;10.1093/nar/30.1.207&lt;/electronic-resource-num&gt;&lt;remote-database-name&gt;Medline&lt;/remote-database-name&gt;&lt;remote-database-provider&gt;NLM&lt;/remote-database-provider&gt;&lt;/record&gt;&lt;/Cite&gt;&lt;/EndNote&gt;</w:instrText>
            </w:r>
            <w:r w:rsidRPr="00C46212">
              <w:rPr>
                <w:rFonts w:ascii="Noto Sans" w:hAnsi="Noto Sans" w:cs="Noto Sans"/>
                <w:sz w:val="18"/>
                <w:szCs w:val="18"/>
              </w:rPr>
              <w:fldChar w:fldCharType="separate"/>
            </w:r>
            <w:r w:rsidRPr="00C46212">
              <w:rPr>
                <w:rFonts w:ascii="Noto Sans" w:hAnsi="Noto Sans" w:cs="Noto Sans"/>
                <w:noProof/>
                <w:sz w:val="18"/>
                <w:szCs w:val="18"/>
              </w:rPr>
              <w:t>(Edgar, Domrachev, &amp; Lash, 2002)</w:t>
            </w:r>
            <w:r w:rsidRPr="00C46212">
              <w:rPr>
                <w:rFonts w:ascii="Noto Sans" w:hAnsi="Noto Sans" w:cs="Noto Sans"/>
                <w:sz w:val="18"/>
                <w:szCs w:val="18"/>
              </w:rPr>
              <w:fldChar w:fldCharType="end"/>
            </w:r>
            <w:r w:rsidRPr="00C46212">
              <w:rPr>
                <w:rFonts w:ascii="Noto Sans" w:hAnsi="Noto Sans" w:cs="Noto Sans"/>
                <w:sz w:val="18"/>
                <w:szCs w:val="18"/>
              </w:rPr>
              <w:t xml:space="preserve"> and are accessible through GEO Series accession number GSE246428 (</w:t>
            </w:r>
            <w:hyperlink r:id="rId16" w:tgtFrame="_blank" w:history="1">
              <w:r w:rsidRPr="00C46212">
                <w:rPr>
                  <w:rStyle w:val="Hyperlink"/>
                  <w:rFonts w:ascii="Noto Sans" w:hAnsi="Noto Sans" w:cs="Noto Sans"/>
                  <w:color w:val="auto"/>
                  <w:sz w:val="18"/>
                  <w:szCs w:val="18"/>
                </w:rPr>
                <w:t>https://www.ncbi.nlm.nih.gov/geo/query/acc.cgi?acc=GSE246428</w:t>
              </w:r>
            </w:hyperlink>
            <w:r w:rsidRPr="00C46212">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2AC147"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15F67B00" w14:textId="662A54CB" w:rsidR="00F102CC" w:rsidRPr="00C46212" w:rsidRDefault="00F102CC">
            <w:pPr>
              <w:spacing w:line="225" w:lineRule="auto"/>
              <w:rPr>
                <w:rFonts w:ascii="Noto Sans" w:eastAsia="Noto Sans" w:hAnsi="Noto Sans" w:cs="Noto Sans"/>
                <w:bCs/>
                <w:sz w:val="18"/>
                <w:szCs w:val="18"/>
              </w:rPr>
            </w:pPr>
          </w:p>
        </w:tc>
      </w:tr>
      <w:tr w:rsidR="00C46212" w:rsidRPr="00C46212" w14:paraId="194458A2" w14:textId="77777777" w:rsidTr="005718BD">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C46212" w:rsidRDefault="00427975">
            <w:pPr>
              <w:rPr>
                <w:rFonts w:ascii="Noto Sans" w:eastAsia="Noto Sans" w:hAnsi="Noto Sans" w:cs="Noto Sans"/>
                <w:sz w:val="18"/>
                <w:szCs w:val="18"/>
                <w:highlight w:val="white"/>
              </w:rPr>
            </w:pPr>
            <w:r w:rsidRPr="00C46212">
              <w:rPr>
                <w:rFonts w:ascii="Noto Sans" w:eastAsia="Noto Sans" w:hAnsi="Noto Sans" w:cs="Noto Sans"/>
                <w:sz w:val="18"/>
                <w:szCs w:val="18"/>
                <w:highlight w:val="white"/>
              </w:rPr>
              <w:t>If reused data is publicly available provide accession number in repository OR DOI</w:t>
            </w:r>
            <w:r w:rsidR="001B3BCC" w:rsidRPr="00C46212">
              <w:rPr>
                <w:rFonts w:ascii="Noto Sans" w:eastAsia="Noto Sans" w:hAnsi="Noto Sans" w:cs="Noto Sans"/>
                <w:sz w:val="18"/>
                <w:szCs w:val="18"/>
                <w:highlight w:val="white"/>
              </w:rPr>
              <w:t>,</w:t>
            </w:r>
            <w:r w:rsidRPr="00C46212">
              <w:rPr>
                <w:rFonts w:ascii="Noto Sans" w:eastAsia="Noto Sans" w:hAnsi="Noto Sans" w:cs="Noto Sans"/>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95CE847" w:rsidR="00F102CC" w:rsidRPr="00C46212" w:rsidRDefault="00EF78F2">
            <w:pPr>
              <w:spacing w:line="225" w:lineRule="auto"/>
              <w:rPr>
                <w:rFonts w:ascii="Noto Sans" w:eastAsia="Noto Sans" w:hAnsi="Noto Sans" w:cs="Noto Sans"/>
                <w:bCs/>
                <w:sz w:val="18"/>
                <w:szCs w:val="18"/>
              </w:rPr>
            </w:pPr>
            <w:r w:rsidRPr="00C46212">
              <w:rPr>
                <w:rFonts w:ascii="Noto Sans" w:hAnsi="Noto Sans" w:cs="Noto Sans"/>
                <w:sz w:val="18"/>
                <w:szCs w:val="18"/>
              </w:rPr>
              <w:t xml:space="preserve">The data discussed in this publication have been deposited in NCBI’s Gene Expression Omnibus </w:t>
            </w:r>
            <w:r w:rsidRPr="00C46212">
              <w:rPr>
                <w:rFonts w:ascii="Noto Sans" w:hAnsi="Noto Sans" w:cs="Noto Sans"/>
                <w:sz w:val="18"/>
                <w:szCs w:val="18"/>
              </w:rPr>
              <w:fldChar w:fldCharType="begin"/>
            </w:r>
            <w:r w:rsidRPr="00C46212">
              <w:rPr>
                <w:rFonts w:ascii="Noto Sans" w:hAnsi="Noto Sans" w:cs="Noto Sans"/>
                <w:sz w:val="18"/>
                <w:szCs w:val="18"/>
              </w:rPr>
              <w:instrText xml:space="preserve"> ADDIN EN.CITE &lt;EndNote&gt;&lt;Cite&gt;&lt;Author&gt;Edgar&lt;/Author&gt;&lt;Year&gt;2002&lt;/Year&gt;&lt;RecNum&gt;173&lt;/RecNum&gt;&lt;DisplayText&gt;(Edgar, Domrachev, &amp;amp; Lash, 2002)&lt;/DisplayText&gt;&lt;record&gt;&lt;rec-number&gt;173&lt;/rec-number&gt;&lt;foreign-keys&gt;&lt;key app="EN" db-id="pazfaxfxkppwr0ewp0f5a5viasevwa0aezwf" timestamp="1698668730"&gt;173&lt;/key&gt;&lt;/foreign-keys&gt;&lt;ref-type name="Journal Article"&gt;17&lt;/ref-type&gt;&lt;contributors&gt;&lt;authors&gt;&lt;author&gt;Edgar, R.&lt;/author&gt;&lt;author&gt;Domrachev, M.&lt;/author&gt;&lt;author&gt;Lash, A. E.&lt;/author&gt;&lt;/authors&gt;&lt;/contributors&gt;&lt;auth-address&gt;National Center for Biotechnology Information, National Library of Medicine, National Institutes of Health, Lister Hill Center, 8600 Rockville Pike, Bethesda, MD 20894, USA.&lt;/auth-address&gt;&lt;titles&gt;&lt;title&gt;Gene Expression Omnibus: NCBI gene expression and hybridization array data repository&lt;/title&gt;&lt;secondary-title&gt;Nucleic Acids Res&lt;/secondary-title&gt;&lt;/titles&gt;&lt;periodical&gt;&lt;full-title&gt;Nucleic Acids Res&lt;/full-title&gt;&lt;/periodical&gt;&lt;pages&gt;207-10&lt;/pages&gt;&lt;volume&gt;30&lt;/volume&gt;&lt;number&gt;1&lt;/number&gt;&lt;keywords&gt;&lt;keyword&gt;Animals&lt;/keyword&gt;&lt;keyword&gt;Communication&lt;/keyword&gt;&lt;keyword&gt;Database Management Systems&lt;/keyword&gt;&lt;keyword&gt;*Databases, Genetic&lt;/keyword&gt;&lt;keyword&gt;Forecasting&lt;/keyword&gt;&lt;keyword&gt;*Gene Expression Profiling&lt;/keyword&gt;&lt;keyword&gt;Genome&lt;/keyword&gt;&lt;keyword&gt;Humans&lt;/keyword&gt;&lt;keyword&gt;Information Storage and Retrieval&lt;/keyword&gt;&lt;keyword&gt;Internet&lt;/keyword&gt;&lt;keyword&gt;National Library of Medicine (U.S.)&lt;/keyword&gt;&lt;keyword&gt;*Oligonucleotide Array Sequence Analysis&lt;/keyword&gt;&lt;keyword&gt;United States&lt;/keyword&gt;&lt;/keywords&gt;&lt;dates&gt;&lt;year&gt;2002&lt;/year&gt;&lt;pub-dates&gt;&lt;date&gt;Jan 1&lt;/date&gt;&lt;/pub-dates&gt;&lt;/dates&gt;&lt;isbn&gt;1362-4962 (Electronic)&amp;#xD;0305-1048 (Print)&amp;#xD;0305-1048 (Linking)&lt;/isbn&gt;&lt;accession-num&gt;11752295&lt;/accession-num&gt;&lt;urls&gt;&lt;related-urls&gt;&lt;url&gt;https://www.ncbi.nlm.nih.gov/pubmed/11752295&lt;/url&gt;&lt;/related-urls&gt;&lt;/urls&gt;&lt;custom2&gt;PMC99122&lt;/custom2&gt;&lt;electronic-resource-num&gt;10.1093/nar/30.1.207&lt;/electronic-resource-num&gt;&lt;remote-database-name&gt;Medline&lt;/remote-database-name&gt;&lt;remote-database-provider&gt;NLM&lt;/remote-database-provider&gt;&lt;/record&gt;&lt;/Cite&gt;&lt;/EndNote&gt;</w:instrText>
            </w:r>
            <w:r w:rsidRPr="00C46212">
              <w:rPr>
                <w:rFonts w:ascii="Noto Sans" w:hAnsi="Noto Sans" w:cs="Noto Sans"/>
                <w:sz w:val="18"/>
                <w:szCs w:val="18"/>
              </w:rPr>
              <w:fldChar w:fldCharType="separate"/>
            </w:r>
            <w:r w:rsidRPr="00C46212">
              <w:rPr>
                <w:rFonts w:ascii="Noto Sans" w:hAnsi="Noto Sans" w:cs="Noto Sans"/>
                <w:noProof/>
                <w:sz w:val="18"/>
                <w:szCs w:val="18"/>
              </w:rPr>
              <w:t>(Edgar, Domrachev, &amp; Lash, 2002)</w:t>
            </w:r>
            <w:r w:rsidRPr="00C46212">
              <w:rPr>
                <w:rFonts w:ascii="Noto Sans" w:hAnsi="Noto Sans" w:cs="Noto Sans"/>
                <w:sz w:val="18"/>
                <w:szCs w:val="18"/>
              </w:rPr>
              <w:fldChar w:fldCharType="end"/>
            </w:r>
            <w:r w:rsidRPr="00C46212">
              <w:rPr>
                <w:rFonts w:ascii="Noto Sans" w:hAnsi="Noto Sans" w:cs="Noto Sans"/>
                <w:sz w:val="18"/>
                <w:szCs w:val="18"/>
              </w:rPr>
              <w:t xml:space="preserve"> and are accessible through GEO Series accession number GSE246428 (</w:t>
            </w:r>
            <w:hyperlink r:id="rId17" w:tgtFrame="_blank" w:history="1">
              <w:r w:rsidRPr="00C46212">
                <w:rPr>
                  <w:rStyle w:val="Hyperlink"/>
                  <w:rFonts w:ascii="Noto Sans" w:hAnsi="Noto Sans" w:cs="Noto Sans"/>
                  <w:color w:val="auto"/>
                  <w:sz w:val="18"/>
                  <w:szCs w:val="18"/>
                </w:rPr>
                <w:t>https://www.ncbi.nlm.nih.gov/geo/query/acc.cgi?acc=GSE246428</w:t>
              </w:r>
            </w:hyperlink>
            <w:r w:rsidRPr="00C46212">
              <w:rPr>
                <w:rFonts w:ascii="Noto Sans" w:hAnsi="Noto Sans" w:cs="Noto Sans"/>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478D1C" w14:textId="77777777" w:rsidR="005718BD" w:rsidRDefault="005718BD" w:rsidP="005718BD">
            <w:pPr>
              <w:rPr>
                <w:rFonts w:ascii="Noto Sans" w:eastAsia="Noto Sans" w:hAnsi="Noto Sans" w:cs="Noto Sans"/>
                <w:bCs/>
                <w:sz w:val="18"/>
                <w:szCs w:val="18"/>
              </w:rPr>
            </w:pPr>
            <w:r>
              <w:rPr>
                <w:rFonts w:ascii="Noto Sans" w:eastAsia="Noto Sans" w:hAnsi="Noto Sans" w:cs="Noto Sans"/>
                <w:bCs/>
                <w:sz w:val="18"/>
                <w:szCs w:val="18"/>
              </w:rPr>
              <w:t>X</w:t>
            </w:r>
          </w:p>
          <w:p w14:paraId="45423DA9" w14:textId="0103DAE6" w:rsidR="00F102CC" w:rsidRPr="00C46212" w:rsidRDefault="00F102CC">
            <w:pPr>
              <w:spacing w:line="225" w:lineRule="auto"/>
              <w:rPr>
                <w:rFonts w:ascii="Noto Sans" w:eastAsia="Noto Sans" w:hAnsi="Noto Sans" w:cs="Noto Sans"/>
                <w:bCs/>
                <w:sz w:val="18"/>
                <w:szCs w:val="18"/>
              </w:rPr>
            </w:pPr>
          </w:p>
        </w:tc>
      </w:tr>
      <w:tr w:rsidR="00C46212" w:rsidRPr="00C46212" w14:paraId="196EA570" w14:textId="77777777" w:rsidTr="005718BD">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C46212" w:rsidRDefault="00F102CC">
            <w:pPr>
              <w:rPr>
                <w:rFonts w:ascii="Noto Sans" w:eastAsia="Noto Sans" w:hAnsi="Noto Sans" w:cs="Noto Sans"/>
                <w:b/>
                <w:sz w:val="18"/>
                <w:szCs w:val="18"/>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C46212" w:rsidRDefault="00427975">
            <w:pPr>
              <w:spacing w:line="225" w:lineRule="auto"/>
              <w:ind w:left="500"/>
              <w:rPr>
                <w:rFonts w:ascii="Noto Sans" w:eastAsia="Noto Sans" w:hAnsi="Noto Sans" w:cs="Noto Sans"/>
                <w:b/>
                <w:sz w:val="18"/>
                <w:szCs w:val="18"/>
              </w:rPr>
            </w:pPr>
            <w:r w:rsidRPr="00C46212">
              <w:rPr>
                <w:rFonts w:ascii="Noto Sans" w:eastAsia="Noto Sans" w:hAnsi="Noto Sans" w:cs="Noto Sans"/>
                <w:b/>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C46212" w:rsidRDefault="00427975">
            <w:pPr>
              <w:spacing w:line="225" w:lineRule="auto"/>
              <w:ind w:left="540"/>
              <w:jc w:val="center"/>
              <w:rPr>
                <w:rFonts w:ascii="Noto Sans" w:eastAsia="Noto Sans" w:hAnsi="Noto Sans" w:cs="Noto Sans"/>
                <w:b/>
                <w:sz w:val="18"/>
                <w:szCs w:val="18"/>
              </w:rPr>
            </w:pPr>
            <w:r w:rsidRPr="00C46212">
              <w:rPr>
                <w:rFonts w:ascii="Noto Sans" w:eastAsia="Noto Sans" w:hAnsi="Noto Sans" w:cs="Noto Sans"/>
                <w:b/>
                <w:sz w:val="18"/>
                <w:szCs w:val="18"/>
              </w:rPr>
              <w:t xml:space="preserve"> </w:t>
            </w:r>
          </w:p>
        </w:tc>
      </w:tr>
      <w:tr w:rsidR="00C46212" w:rsidRPr="00C46212" w14:paraId="144773F8" w14:textId="77777777" w:rsidTr="005718BD">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C46212" w:rsidRDefault="00427975">
            <w:pPr>
              <w:rPr>
                <w:rFonts w:ascii="Noto Sans" w:eastAsia="Noto Sans" w:hAnsi="Noto Sans" w:cs="Noto Sans"/>
                <w:b/>
                <w:sz w:val="18"/>
                <w:szCs w:val="18"/>
              </w:rPr>
            </w:pPr>
            <w:r w:rsidRPr="00C46212">
              <w:rPr>
                <w:rFonts w:ascii="Noto Sans" w:eastAsia="Noto Sans" w:hAnsi="Noto Sans" w:cs="Noto Sans"/>
                <w:b/>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C46212" w:rsidRPr="00C46212" w14:paraId="11F2CC2B" w14:textId="77777777" w:rsidTr="005718BD">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 xml:space="preserve">For </w:t>
            </w:r>
            <w:r w:rsidR="005B0259" w:rsidRPr="00C46212">
              <w:rPr>
                <w:rFonts w:ascii="Noto Sans" w:eastAsia="Noto Sans" w:hAnsi="Noto Sans" w:cs="Noto Sans"/>
                <w:sz w:val="18"/>
                <w:szCs w:val="18"/>
              </w:rPr>
              <w:t xml:space="preserve">any </w:t>
            </w:r>
            <w:r w:rsidRPr="00C46212">
              <w:rPr>
                <w:rFonts w:ascii="Noto Sans" w:eastAsia="Noto Sans" w:hAnsi="Noto Sans" w:cs="Noto Sans"/>
                <w:sz w:val="18"/>
                <w:szCs w:val="18"/>
              </w:rPr>
              <w:t>computer code/software/mathematical algorithm</w:t>
            </w:r>
            <w:r w:rsidR="005B0259" w:rsidRPr="00C46212">
              <w:rPr>
                <w:rFonts w:ascii="Noto Sans" w:eastAsia="Noto Sans" w:hAnsi="Noto Sans" w:cs="Noto Sans"/>
                <w:sz w:val="18"/>
                <w:szCs w:val="18"/>
              </w:rPr>
              <w:t>s</w:t>
            </w:r>
            <w:r w:rsidRPr="00C46212">
              <w:rPr>
                <w:rFonts w:ascii="Noto Sans" w:eastAsia="Noto Sans" w:hAnsi="Noto Sans" w:cs="Noto Sans"/>
                <w:sz w:val="18"/>
                <w:szCs w:val="18"/>
              </w:rPr>
              <w:t xml:space="preserve"> essential for replicating the main findings of the study, </w:t>
            </w:r>
            <w:r w:rsidR="005B0259" w:rsidRPr="00C46212">
              <w:rPr>
                <w:rFonts w:ascii="Noto Sans" w:eastAsia="Noto Sans" w:hAnsi="Noto Sans" w:cs="Noto Sans"/>
                <w:sz w:val="18"/>
                <w:szCs w:val="18"/>
              </w:rPr>
              <w:t xml:space="preserve">whether newly generated or re-used, </w:t>
            </w:r>
            <w:r w:rsidRPr="00C46212">
              <w:rPr>
                <w:rFonts w:ascii="Noto Sans" w:eastAsia="Noto Sans" w:hAnsi="Noto Sans" w:cs="Noto Sans"/>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C46212"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C4F969" w:rsidR="00F102CC" w:rsidRPr="00C46212" w:rsidRDefault="00EF78F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C46212" w:rsidRPr="00C46212" w14:paraId="1178CAC5" w14:textId="77777777" w:rsidTr="005718BD">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C46212" w:rsidRDefault="005B0259">
            <w:pPr>
              <w:rPr>
                <w:rFonts w:ascii="Noto Sans" w:eastAsia="Noto Sans" w:hAnsi="Noto Sans" w:cs="Noto Sans"/>
                <w:sz w:val="18"/>
                <w:szCs w:val="18"/>
              </w:rPr>
            </w:pPr>
            <w:r w:rsidRPr="00C46212">
              <w:rPr>
                <w:rFonts w:ascii="Noto Sans" w:eastAsia="Noto Sans" w:hAnsi="Noto Sans" w:cs="Noto Sans"/>
                <w:sz w:val="18"/>
                <w:szCs w:val="18"/>
              </w:rPr>
              <w:t>Where</w:t>
            </w:r>
            <w:r w:rsidR="00427975" w:rsidRPr="00C46212">
              <w:rPr>
                <w:rFonts w:ascii="Noto Sans" w:eastAsia="Noto Sans" w:hAnsi="Noto Sans" w:cs="Noto Sans"/>
                <w:sz w:val="18"/>
                <w:szCs w:val="18"/>
              </w:rPr>
              <w:t xml:space="preserve"> newly generated code is publicly available, provide accession number in repository, OR DOI OR URL and licensing details </w:t>
            </w:r>
            <w:proofErr w:type="spellStart"/>
            <w:r w:rsidR="00427975" w:rsidRPr="00C46212">
              <w:rPr>
                <w:rFonts w:ascii="Noto Sans" w:eastAsia="Noto Sans" w:hAnsi="Noto Sans" w:cs="Noto Sans"/>
                <w:sz w:val="18"/>
                <w:szCs w:val="18"/>
              </w:rPr>
              <w:t>where</w:t>
            </w:r>
            <w:proofErr w:type="spellEnd"/>
            <w:r w:rsidR="00427975" w:rsidRPr="00C46212">
              <w:rPr>
                <w:rFonts w:ascii="Noto Sans" w:eastAsia="Noto Sans" w:hAnsi="Noto Sans" w:cs="Noto Sans"/>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C46212"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5713D0" w:rsidR="00F102CC" w:rsidRPr="00C46212" w:rsidRDefault="00EF78F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r w:rsidR="00F102CC" w:rsidRPr="00C46212" w14:paraId="7047B99D" w14:textId="77777777" w:rsidTr="005718BD">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C46212" w:rsidRDefault="00427975">
            <w:pPr>
              <w:rPr>
                <w:rFonts w:ascii="Noto Sans" w:eastAsia="Noto Sans" w:hAnsi="Noto Sans" w:cs="Noto Sans"/>
                <w:sz w:val="18"/>
                <w:szCs w:val="18"/>
                <w:highlight w:val="white"/>
              </w:rPr>
            </w:pPr>
            <w:r w:rsidRPr="00C46212">
              <w:rPr>
                <w:rFonts w:ascii="Noto Sans" w:eastAsia="Noto Sans" w:hAnsi="Noto Sans" w:cs="Noto Sans"/>
                <w:sz w:val="18"/>
                <w:szCs w:val="18"/>
              </w:rPr>
              <w:t xml:space="preserve">If reused code is </w:t>
            </w:r>
            <w:r w:rsidRPr="00C46212">
              <w:rPr>
                <w:rFonts w:ascii="Noto Sans" w:eastAsia="Noto Sans" w:hAnsi="Noto Sans" w:cs="Noto Sans"/>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C46212" w:rsidRDefault="00F102CC">
            <w:pPr>
              <w:spacing w:line="225" w:lineRule="auto"/>
              <w:rPr>
                <w:rFonts w:ascii="Noto Sans" w:eastAsia="Noto Sans" w:hAnsi="Noto Sans" w:cs="Noto Sans"/>
                <w:bCs/>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D8657A7" w:rsidR="00F102CC" w:rsidRPr="00C46212" w:rsidRDefault="00EF78F2">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bl>
    <w:p w14:paraId="0AA8B99E" w14:textId="77777777" w:rsidR="00F102CC" w:rsidRPr="00C46212" w:rsidRDefault="00F102CC">
      <w:pPr>
        <w:spacing w:before="60" w:line="227" w:lineRule="auto"/>
        <w:rPr>
          <w:rFonts w:ascii="Noto Sans" w:eastAsia="Noto Sans" w:hAnsi="Noto Sans" w:cs="Noto Sans"/>
          <w:b/>
          <w:sz w:val="18"/>
          <w:szCs w:val="18"/>
          <w:u w:val="single"/>
        </w:rPr>
      </w:pPr>
    </w:p>
    <w:p w14:paraId="05E5A65D" w14:textId="77777777" w:rsidR="00F102CC" w:rsidRPr="00C46212" w:rsidRDefault="00427975">
      <w:pPr>
        <w:spacing w:before="60" w:line="227" w:lineRule="auto"/>
        <w:rPr>
          <w:rFonts w:ascii="Noto Sans" w:eastAsia="Noto Sans" w:hAnsi="Noto Sans" w:cs="Noto Sans"/>
          <w:b/>
          <w:sz w:val="18"/>
          <w:szCs w:val="18"/>
        </w:rPr>
      </w:pPr>
      <w:bookmarkStart w:id="2" w:name="_qing2gdaj9k6" w:colFirst="0" w:colLast="0"/>
      <w:bookmarkEnd w:id="2"/>
      <w:r w:rsidRPr="00C46212">
        <w:rPr>
          <w:rFonts w:ascii="Noto Sans" w:eastAsia="Noto Sans" w:hAnsi="Noto Sans" w:cs="Noto Sans"/>
          <w:b/>
          <w:sz w:val="18"/>
          <w:szCs w:val="18"/>
        </w:rPr>
        <w:t>Reporting:</w:t>
      </w:r>
    </w:p>
    <w:p w14:paraId="562BE798" w14:textId="77777777" w:rsidR="00F102CC" w:rsidRPr="00C46212" w:rsidRDefault="00427975">
      <w:pPr>
        <w:spacing w:before="80" w:line="227" w:lineRule="auto"/>
        <w:rPr>
          <w:rFonts w:ascii="Noto Sans" w:eastAsia="Noto Sans" w:hAnsi="Noto Sans" w:cs="Noto Sans"/>
          <w:sz w:val="18"/>
          <w:szCs w:val="18"/>
        </w:rPr>
      </w:pPr>
      <w:r w:rsidRPr="00C46212">
        <w:rPr>
          <w:rFonts w:ascii="Noto Sans" w:eastAsia="Noto Sans" w:hAnsi="Noto Sans" w:cs="Noto Sans"/>
          <w:sz w:val="18"/>
          <w:szCs w:val="18"/>
        </w:rPr>
        <w:t>The MDAR framework recommends adoption of discipline-specific guidelines, established and endorsed through community initiatives.</w:t>
      </w:r>
    </w:p>
    <w:p w14:paraId="6D6099B1" w14:textId="77777777" w:rsidR="00F102CC" w:rsidRPr="00C46212" w:rsidRDefault="00427975">
      <w:pPr>
        <w:spacing w:line="227" w:lineRule="auto"/>
        <w:ind w:left="460"/>
        <w:rPr>
          <w:rFonts w:ascii="Noto Sans" w:eastAsia="Noto Sans" w:hAnsi="Noto Sans" w:cs="Noto Sans"/>
          <w:b/>
          <w:sz w:val="18"/>
          <w:szCs w:val="18"/>
        </w:rPr>
      </w:pPr>
      <w:r w:rsidRPr="00C46212">
        <w:rPr>
          <w:rFonts w:ascii="Noto Sans" w:eastAsia="Noto Sans" w:hAnsi="Noto Sans" w:cs="Noto Sans"/>
          <w:b/>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C46212" w:rsidRPr="00C46212"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C46212" w:rsidRDefault="00427975">
            <w:pPr>
              <w:spacing w:line="225" w:lineRule="auto"/>
              <w:rPr>
                <w:rFonts w:ascii="Noto Sans" w:eastAsia="Noto Sans" w:hAnsi="Noto Sans" w:cs="Noto Sans"/>
                <w:b/>
                <w:sz w:val="18"/>
                <w:szCs w:val="18"/>
              </w:rPr>
            </w:pPr>
            <w:r w:rsidRPr="00C46212">
              <w:rPr>
                <w:rFonts w:ascii="Noto Sans" w:eastAsia="Noto Sans" w:hAnsi="Noto Sans" w:cs="Noto Sans"/>
                <w:b/>
                <w:sz w:val="18"/>
                <w:szCs w:val="18"/>
              </w:rPr>
              <w:t>N/A</w:t>
            </w:r>
          </w:p>
        </w:tc>
      </w:tr>
      <w:tr w:rsidR="00F102CC" w:rsidRPr="00C46212"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C46212" w:rsidRDefault="00427975">
            <w:pPr>
              <w:rPr>
                <w:rFonts w:ascii="Noto Sans" w:eastAsia="Noto Sans" w:hAnsi="Noto Sans" w:cs="Noto Sans"/>
                <w:sz w:val="18"/>
                <w:szCs w:val="18"/>
              </w:rPr>
            </w:pPr>
            <w:r w:rsidRPr="00C46212">
              <w:rPr>
                <w:rFonts w:ascii="Noto Sans" w:eastAsia="Noto Sans" w:hAnsi="Noto Sans" w:cs="Noto Sans"/>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C46212" w:rsidRDefault="00F102CC">
            <w:pPr>
              <w:spacing w:line="225" w:lineRule="auto"/>
              <w:rPr>
                <w:rFonts w:ascii="Noto Sans" w:eastAsia="Noto Sans" w:hAnsi="Noto Sans" w:cs="Noto Sans"/>
                <w:bCs/>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EA2B33" w:rsidR="00F102CC" w:rsidRPr="00C46212" w:rsidRDefault="001F2DB1">
            <w:pPr>
              <w:spacing w:line="225" w:lineRule="auto"/>
              <w:rPr>
                <w:rFonts w:ascii="Noto Sans" w:eastAsia="Noto Sans" w:hAnsi="Noto Sans" w:cs="Noto Sans"/>
                <w:bCs/>
                <w:sz w:val="18"/>
                <w:szCs w:val="18"/>
              </w:rPr>
            </w:pPr>
            <w:r w:rsidRPr="00C46212">
              <w:rPr>
                <w:rFonts w:ascii="Noto Sans" w:eastAsia="Noto Sans" w:hAnsi="Noto Sans" w:cs="Noto Sans"/>
                <w:bCs/>
                <w:sz w:val="18"/>
                <w:szCs w:val="18"/>
              </w:rPr>
              <w:t>N/A</w:t>
            </w:r>
          </w:p>
        </w:tc>
      </w:tr>
    </w:tbl>
    <w:p w14:paraId="504D0CB4" w14:textId="77777777" w:rsidR="00F102CC" w:rsidRPr="00C46212" w:rsidRDefault="00F102CC">
      <w:pPr>
        <w:spacing w:line="227" w:lineRule="auto"/>
        <w:rPr>
          <w:rFonts w:ascii="Noto Sans" w:eastAsia="Noto Sans" w:hAnsi="Noto Sans" w:cs="Noto Sans"/>
          <w:b/>
          <w:sz w:val="18"/>
          <w:szCs w:val="18"/>
        </w:rPr>
      </w:pPr>
    </w:p>
    <w:p w14:paraId="36ED3EAB" w14:textId="77777777" w:rsidR="00F102CC" w:rsidRDefault="005718B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2173661">
    <w:abstractNumId w:val="2"/>
  </w:num>
  <w:num w:numId="2" w16cid:durableId="1981036423">
    <w:abstractNumId w:val="0"/>
  </w:num>
  <w:num w:numId="3" w16cid:durableId="316806434">
    <w:abstractNumId w:val="1"/>
  </w:num>
  <w:num w:numId="4" w16cid:durableId="733773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022"/>
    <w:rsid w:val="001668B2"/>
    <w:rsid w:val="001B3BCC"/>
    <w:rsid w:val="001C1328"/>
    <w:rsid w:val="001C7C39"/>
    <w:rsid w:val="001F2DB1"/>
    <w:rsid w:val="002209A8"/>
    <w:rsid w:val="00295630"/>
    <w:rsid w:val="003D5AF6"/>
    <w:rsid w:val="00411D92"/>
    <w:rsid w:val="004264CC"/>
    <w:rsid w:val="00427975"/>
    <w:rsid w:val="00476C9E"/>
    <w:rsid w:val="004D1400"/>
    <w:rsid w:val="004E2C31"/>
    <w:rsid w:val="00505134"/>
    <w:rsid w:val="00567B60"/>
    <w:rsid w:val="005718BD"/>
    <w:rsid w:val="005B0259"/>
    <w:rsid w:val="00610F98"/>
    <w:rsid w:val="00634942"/>
    <w:rsid w:val="007054B6"/>
    <w:rsid w:val="007157C6"/>
    <w:rsid w:val="008C7A3E"/>
    <w:rsid w:val="008D2FAD"/>
    <w:rsid w:val="00904946"/>
    <w:rsid w:val="00934B55"/>
    <w:rsid w:val="009562B4"/>
    <w:rsid w:val="009C7B26"/>
    <w:rsid w:val="009F27B0"/>
    <w:rsid w:val="00A11E52"/>
    <w:rsid w:val="00A34B42"/>
    <w:rsid w:val="00AC0622"/>
    <w:rsid w:val="00BB7D50"/>
    <w:rsid w:val="00BD41E9"/>
    <w:rsid w:val="00C46212"/>
    <w:rsid w:val="00C84413"/>
    <w:rsid w:val="00CB717E"/>
    <w:rsid w:val="00D306DF"/>
    <w:rsid w:val="00D421D2"/>
    <w:rsid w:val="00D902FE"/>
    <w:rsid w:val="00E753FB"/>
    <w:rsid w:val="00EF78F2"/>
    <w:rsid w:val="00F102CC"/>
    <w:rsid w:val="00F8554D"/>
    <w:rsid w:val="00F8787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normaltextrun">
    <w:name w:val="normaltextrun"/>
    <w:basedOn w:val="DefaultParagraphFont"/>
    <w:rsid w:val="00BB7D50"/>
  </w:style>
  <w:style w:type="character" w:customStyle="1" w:styleId="ui-provider">
    <w:name w:val="ui-provider"/>
    <w:basedOn w:val="DefaultParagraphFont"/>
    <w:rsid w:val="00634942"/>
  </w:style>
  <w:style w:type="character" w:styleId="Hyperlink">
    <w:name w:val="Hyperlink"/>
    <w:basedOn w:val="DefaultParagraphFont"/>
    <w:uiPriority w:val="99"/>
    <w:unhideWhenUsed/>
    <w:rsid w:val="001C1328"/>
    <w:rPr>
      <w:color w:val="0000FF"/>
      <w:u w:val="single"/>
    </w:rPr>
  </w:style>
  <w:style w:type="paragraph" w:customStyle="1" w:styleId="paragraph">
    <w:name w:val="paragraph"/>
    <w:basedOn w:val="Normal"/>
    <w:rsid w:val="004D1400"/>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62394">
      <w:bodyDiv w:val="1"/>
      <w:marLeft w:val="0"/>
      <w:marRight w:val="0"/>
      <w:marTop w:val="0"/>
      <w:marBottom w:val="0"/>
      <w:divBdr>
        <w:top w:val="none" w:sz="0" w:space="0" w:color="auto"/>
        <w:left w:val="none" w:sz="0" w:space="0" w:color="auto"/>
        <w:bottom w:val="none" w:sz="0" w:space="0" w:color="auto"/>
        <w:right w:val="none" w:sz="0" w:space="0" w:color="auto"/>
      </w:divBdr>
    </w:div>
    <w:div w:id="319426948">
      <w:bodyDiv w:val="1"/>
      <w:marLeft w:val="0"/>
      <w:marRight w:val="0"/>
      <w:marTop w:val="0"/>
      <w:marBottom w:val="0"/>
      <w:divBdr>
        <w:top w:val="none" w:sz="0" w:space="0" w:color="auto"/>
        <w:left w:val="none" w:sz="0" w:space="0" w:color="auto"/>
        <w:bottom w:val="none" w:sz="0" w:space="0" w:color="auto"/>
        <w:right w:val="none" w:sz="0" w:space="0" w:color="auto"/>
      </w:divBdr>
    </w:div>
    <w:div w:id="451434859">
      <w:bodyDiv w:val="1"/>
      <w:marLeft w:val="0"/>
      <w:marRight w:val="0"/>
      <w:marTop w:val="0"/>
      <w:marBottom w:val="0"/>
      <w:divBdr>
        <w:top w:val="none" w:sz="0" w:space="0" w:color="auto"/>
        <w:left w:val="none" w:sz="0" w:space="0" w:color="auto"/>
        <w:bottom w:val="none" w:sz="0" w:space="0" w:color="auto"/>
        <w:right w:val="none" w:sz="0" w:space="0" w:color="auto"/>
      </w:divBdr>
    </w:div>
    <w:div w:id="651561904">
      <w:bodyDiv w:val="1"/>
      <w:marLeft w:val="0"/>
      <w:marRight w:val="0"/>
      <w:marTop w:val="0"/>
      <w:marBottom w:val="0"/>
      <w:divBdr>
        <w:top w:val="none" w:sz="0" w:space="0" w:color="auto"/>
        <w:left w:val="none" w:sz="0" w:space="0" w:color="auto"/>
        <w:bottom w:val="none" w:sz="0" w:space="0" w:color="auto"/>
        <w:right w:val="none" w:sz="0" w:space="0" w:color="auto"/>
      </w:divBdr>
    </w:div>
    <w:div w:id="765031356">
      <w:bodyDiv w:val="1"/>
      <w:marLeft w:val="0"/>
      <w:marRight w:val="0"/>
      <w:marTop w:val="0"/>
      <w:marBottom w:val="0"/>
      <w:divBdr>
        <w:top w:val="none" w:sz="0" w:space="0" w:color="auto"/>
        <w:left w:val="none" w:sz="0" w:space="0" w:color="auto"/>
        <w:bottom w:val="none" w:sz="0" w:space="0" w:color="auto"/>
        <w:right w:val="none" w:sz="0" w:space="0" w:color="auto"/>
      </w:divBdr>
    </w:div>
    <w:div w:id="1236670765">
      <w:bodyDiv w:val="1"/>
      <w:marLeft w:val="0"/>
      <w:marRight w:val="0"/>
      <w:marTop w:val="0"/>
      <w:marBottom w:val="0"/>
      <w:divBdr>
        <w:top w:val="none" w:sz="0" w:space="0" w:color="auto"/>
        <w:left w:val="none" w:sz="0" w:space="0" w:color="auto"/>
        <w:bottom w:val="none" w:sz="0" w:space="0" w:color="auto"/>
        <w:right w:val="none" w:sz="0" w:space="0" w:color="auto"/>
      </w:divBdr>
    </w:div>
    <w:div w:id="1539125988">
      <w:bodyDiv w:val="1"/>
      <w:marLeft w:val="0"/>
      <w:marRight w:val="0"/>
      <w:marTop w:val="0"/>
      <w:marBottom w:val="0"/>
      <w:divBdr>
        <w:top w:val="none" w:sz="0" w:space="0" w:color="auto"/>
        <w:left w:val="none" w:sz="0" w:space="0" w:color="auto"/>
        <w:bottom w:val="none" w:sz="0" w:space="0" w:color="auto"/>
        <w:right w:val="none" w:sz="0" w:space="0" w:color="auto"/>
      </w:divBdr>
    </w:div>
    <w:div w:id="1592812309">
      <w:bodyDiv w:val="1"/>
      <w:marLeft w:val="0"/>
      <w:marRight w:val="0"/>
      <w:marTop w:val="0"/>
      <w:marBottom w:val="0"/>
      <w:divBdr>
        <w:top w:val="none" w:sz="0" w:space="0" w:color="auto"/>
        <w:left w:val="none" w:sz="0" w:space="0" w:color="auto"/>
        <w:bottom w:val="none" w:sz="0" w:space="0" w:color="auto"/>
        <w:right w:val="none" w:sz="0" w:space="0" w:color="auto"/>
      </w:divBdr>
    </w:div>
    <w:div w:id="1607813270">
      <w:bodyDiv w:val="1"/>
      <w:marLeft w:val="0"/>
      <w:marRight w:val="0"/>
      <w:marTop w:val="0"/>
      <w:marBottom w:val="0"/>
      <w:divBdr>
        <w:top w:val="none" w:sz="0" w:space="0" w:color="auto"/>
        <w:left w:val="none" w:sz="0" w:space="0" w:color="auto"/>
        <w:bottom w:val="none" w:sz="0" w:space="0" w:color="auto"/>
        <w:right w:val="none" w:sz="0" w:space="0" w:color="auto"/>
      </w:divBdr>
    </w:div>
    <w:div w:id="1611618852">
      <w:bodyDiv w:val="1"/>
      <w:marLeft w:val="0"/>
      <w:marRight w:val="0"/>
      <w:marTop w:val="0"/>
      <w:marBottom w:val="0"/>
      <w:divBdr>
        <w:top w:val="none" w:sz="0" w:space="0" w:color="auto"/>
        <w:left w:val="none" w:sz="0" w:space="0" w:color="auto"/>
        <w:bottom w:val="none" w:sz="0" w:space="0" w:color="auto"/>
        <w:right w:val="none" w:sz="0" w:space="0" w:color="auto"/>
      </w:divBdr>
    </w:div>
    <w:div w:id="1686128717">
      <w:bodyDiv w:val="1"/>
      <w:marLeft w:val="0"/>
      <w:marRight w:val="0"/>
      <w:marTop w:val="0"/>
      <w:marBottom w:val="0"/>
      <w:divBdr>
        <w:top w:val="none" w:sz="0" w:space="0" w:color="auto"/>
        <w:left w:val="none" w:sz="0" w:space="0" w:color="auto"/>
        <w:bottom w:val="none" w:sz="0" w:space="0" w:color="auto"/>
        <w:right w:val="none" w:sz="0" w:space="0" w:color="auto"/>
      </w:divBdr>
    </w:div>
    <w:div w:id="1820875881">
      <w:bodyDiv w:val="1"/>
      <w:marLeft w:val="0"/>
      <w:marRight w:val="0"/>
      <w:marTop w:val="0"/>
      <w:marBottom w:val="0"/>
      <w:divBdr>
        <w:top w:val="none" w:sz="0" w:space="0" w:color="auto"/>
        <w:left w:val="none" w:sz="0" w:space="0" w:color="auto"/>
        <w:bottom w:val="none" w:sz="0" w:space="0" w:color="auto"/>
        <w:right w:val="none" w:sz="0" w:space="0" w:color="auto"/>
      </w:divBdr>
    </w:div>
    <w:div w:id="1903590385">
      <w:bodyDiv w:val="1"/>
      <w:marLeft w:val="0"/>
      <w:marRight w:val="0"/>
      <w:marTop w:val="0"/>
      <w:marBottom w:val="0"/>
      <w:divBdr>
        <w:top w:val="none" w:sz="0" w:space="0" w:color="auto"/>
        <w:left w:val="none" w:sz="0" w:space="0" w:color="auto"/>
        <w:bottom w:val="none" w:sz="0" w:space="0" w:color="auto"/>
        <w:right w:val="none" w:sz="0" w:space="0" w:color="auto"/>
      </w:divBdr>
    </w:div>
    <w:div w:id="212307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urldefense.com/v3/__https:/www.ncbi.nlm.nih.gov/geo/query/acc.cgi?acc=GSE246428__;!!H9nueQsQ!7F7PCDuOJrNu1VF-ZguOlW-sGoABQL2r8RJdTiso79gycZyBfT6QO_BmGxvKt5CW0D3V1ZfxVIbxpnbop7gQBUXx0g$" TargetMode="External"/><Relationship Id="rId2" Type="http://schemas.openxmlformats.org/officeDocument/2006/relationships/styles" Target="styles.xml"/><Relationship Id="rId16" Type="http://schemas.openxmlformats.org/officeDocument/2006/relationships/hyperlink" Target="https://urldefense.com/v3/__https:/www.ncbi.nlm.nih.gov/geo/query/acc.cgi?acc=GSE246428__;!!H9nueQsQ!7F7PCDuOJrNu1VF-ZguOlW-sGoABQL2r8RJdTiso79gycZyBfT6QO_BmGxvKt5CW0D3V1ZfxVIbxpnbop7gQBUXx0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urldefense.com/v3/__https:/www.thermofisher.com/taqman-gene-expression/product/Mm02525934_g1?CID=&amp;ICID=&amp;subtype=__;!!H9nueQsQ!pNAHFP_3f1ipJMqzNq7qbgEa8DVi2kZdRVmG43_PED0cP5s61bKQ6y0hXunBSxPZ8w$"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urldefense.com/v3/__https:/www.thermofisher.com/taqman-gene-expression/product/Mm04225271_g1?CID=&amp;ICID=&amp;subtype=__;!!H9nueQsQ!pNAHFP_3f1ipJMqzNq7qbgEa8DVi2kZdRVmG43_PED0cP5s61bKQ6y0hXunZMgxXJ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Zhidan Wu</dc:creator>
  <cp:lastModifiedBy>Zhidan Wu</cp:lastModifiedBy>
  <cp:revision>4</cp:revision>
  <dcterms:created xsi:type="dcterms:W3CDTF">2024-05-13T00:53:00Z</dcterms:created>
  <dcterms:modified xsi:type="dcterms:W3CDTF">2024-05-13T00:54:00Z</dcterms:modified>
</cp:coreProperties>
</file>