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B6C8" w14:textId="0F604028" w:rsidR="00B52311" w:rsidRPr="00BA1920" w:rsidRDefault="00971919">
      <w:pPr>
        <w:rPr>
          <w:b/>
          <w:bCs/>
          <w:lang w:val="fr-FR"/>
        </w:rPr>
      </w:pPr>
      <w:r w:rsidRPr="00BA1920">
        <w:rPr>
          <w:b/>
          <w:bCs/>
          <w:lang w:val="fr-FR"/>
        </w:rPr>
        <w:t xml:space="preserve">Supplementary File </w:t>
      </w:r>
      <w:r w:rsidR="003D50AB">
        <w:rPr>
          <w:b/>
          <w:bCs/>
          <w:lang w:val="fr-FR"/>
        </w:rPr>
        <w:t>2</w:t>
      </w:r>
    </w:p>
    <w:p w14:paraId="4F4F2541" w14:textId="24CB1A97" w:rsidR="00971919" w:rsidRPr="00BA1920" w:rsidRDefault="00971919">
      <w:pPr>
        <w:rPr>
          <w:i/>
          <w:iCs/>
          <w:lang w:val="fr-FR"/>
        </w:rPr>
      </w:pPr>
      <w:r w:rsidRPr="00BA1920">
        <w:rPr>
          <w:i/>
          <w:iCs/>
          <w:lang w:val="fr-FR"/>
        </w:rPr>
        <w:t>Descriptives of questionnaire scores</w:t>
      </w:r>
    </w:p>
    <w:p w14:paraId="716C7869" w14:textId="77777777" w:rsidR="00971919" w:rsidRPr="00BA1920" w:rsidRDefault="00971919">
      <w:pPr>
        <w:rPr>
          <w:lang w:val="fr-FR"/>
        </w:rPr>
      </w:pPr>
    </w:p>
    <w:tbl>
      <w:tblPr>
        <w:tblStyle w:val="TableGrid"/>
        <w:tblW w:w="0" w:type="auto"/>
        <w:tblInd w:w="0" w:type="dxa"/>
        <w:tblLook w:val="04A0" w:firstRow="1" w:lastRow="0" w:firstColumn="1" w:lastColumn="0" w:noHBand="0" w:noVBand="1"/>
      </w:tblPr>
      <w:tblGrid>
        <w:gridCol w:w="2497"/>
        <w:gridCol w:w="2214"/>
        <w:gridCol w:w="2336"/>
        <w:gridCol w:w="2025"/>
      </w:tblGrid>
      <w:tr w:rsidR="00D34A51" w:rsidRPr="0059396B" w14:paraId="0DED5379" w14:textId="77777777" w:rsidTr="00E621BB">
        <w:tc>
          <w:tcPr>
            <w:tcW w:w="2497" w:type="dxa"/>
            <w:tcBorders>
              <w:left w:val="nil"/>
              <w:bottom w:val="single" w:sz="4" w:space="0" w:color="auto"/>
              <w:right w:val="nil"/>
            </w:tcBorders>
          </w:tcPr>
          <w:p w14:paraId="763B3FEC" w14:textId="77777777" w:rsidR="00D34A51" w:rsidRPr="0059396B" w:rsidRDefault="00D34A51" w:rsidP="00E621BB">
            <w:pPr>
              <w:jc w:val="both"/>
              <w:rPr>
                <w:rFonts w:eastAsia="Calibri"/>
                <w:b/>
                <w:bCs/>
              </w:rPr>
            </w:pPr>
            <w:r w:rsidRPr="0059396B">
              <w:rPr>
                <w:rFonts w:eastAsia="Calibri"/>
                <w:b/>
                <w:bCs/>
              </w:rPr>
              <w:t>Questionnaire scale</w:t>
            </w:r>
          </w:p>
        </w:tc>
        <w:tc>
          <w:tcPr>
            <w:tcW w:w="2214" w:type="dxa"/>
            <w:tcBorders>
              <w:left w:val="nil"/>
              <w:bottom w:val="single" w:sz="4" w:space="0" w:color="auto"/>
              <w:right w:val="nil"/>
            </w:tcBorders>
          </w:tcPr>
          <w:p w14:paraId="5A10388B" w14:textId="77777777" w:rsidR="00D34A51" w:rsidRPr="0059396B" w:rsidRDefault="00D34A51" w:rsidP="00E621BB">
            <w:pPr>
              <w:jc w:val="both"/>
              <w:rPr>
                <w:rFonts w:eastAsia="Calibri"/>
                <w:b/>
                <w:bCs/>
              </w:rPr>
            </w:pPr>
            <w:r w:rsidRPr="0059396B">
              <w:rPr>
                <w:rFonts w:eastAsia="Calibri"/>
                <w:b/>
                <w:bCs/>
              </w:rPr>
              <w:t>Mean</w:t>
            </w:r>
          </w:p>
        </w:tc>
        <w:tc>
          <w:tcPr>
            <w:tcW w:w="2336" w:type="dxa"/>
            <w:tcBorders>
              <w:left w:val="nil"/>
              <w:bottom w:val="single" w:sz="4" w:space="0" w:color="auto"/>
              <w:right w:val="nil"/>
            </w:tcBorders>
          </w:tcPr>
          <w:p w14:paraId="3B56176B" w14:textId="77777777" w:rsidR="00D34A51" w:rsidRPr="0059396B" w:rsidRDefault="00D34A51" w:rsidP="00E621BB">
            <w:pPr>
              <w:jc w:val="both"/>
              <w:rPr>
                <w:rFonts w:eastAsia="Calibri"/>
                <w:b/>
                <w:bCs/>
              </w:rPr>
            </w:pPr>
            <w:r w:rsidRPr="0059396B">
              <w:rPr>
                <w:rFonts w:eastAsia="Calibri"/>
                <w:b/>
                <w:bCs/>
              </w:rPr>
              <w:t>Standard deviation</w:t>
            </w:r>
          </w:p>
        </w:tc>
        <w:tc>
          <w:tcPr>
            <w:tcW w:w="2025" w:type="dxa"/>
            <w:tcBorders>
              <w:left w:val="nil"/>
              <w:bottom w:val="single" w:sz="4" w:space="0" w:color="auto"/>
              <w:right w:val="nil"/>
            </w:tcBorders>
          </w:tcPr>
          <w:p w14:paraId="70CD456D" w14:textId="77777777" w:rsidR="00D34A51" w:rsidRPr="0059396B" w:rsidRDefault="00D34A51" w:rsidP="00E621BB">
            <w:pPr>
              <w:jc w:val="both"/>
              <w:rPr>
                <w:rFonts w:eastAsia="Calibri"/>
                <w:b/>
                <w:bCs/>
                <w:i/>
                <w:iCs/>
              </w:rPr>
            </w:pPr>
            <w:r w:rsidRPr="0059396B">
              <w:rPr>
                <w:rFonts w:eastAsia="Calibri"/>
                <w:b/>
                <w:bCs/>
                <w:i/>
                <w:iCs/>
              </w:rPr>
              <w:t>N</w:t>
            </w:r>
          </w:p>
        </w:tc>
      </w:tr>
      <w:tr w:rsidR="00D34A51" w:rsidRPr="0059396B" w14:paraId="158A164D" w14:textId="77777777" w:rsidTr="00E621BB">
        <w:tc>
          <w:tcPr>
            <w:tcW w:w="2497" w:type="dxa"/>
            <w:tcBorders>
              <w:top w:val="single" w:sz="4" w:space="0" w:color="auto"/>
              <w:left w:val="nil"/>
              <w:bottom w:val="nil"/>
              <w:right w:val="nil"/>
            </w:tcBorders>
          </w:tcPr>
          <w:p w14:paraId="64A7F995" w14:textId="77777777" w:rsidR="00D34A51" w:rsidRPr="0059396B" w:rsidRDefault="00D34A51" w:rsidP="00E621BB">
            <w:pPr>
              <w:jc w:val="both"/>
              <w:rPr>
                <w:rFonts w:eastAsia="Calibri"/>
                <w:b/>
                <w:bCs/>
              </w:rPr>
            </w:pPr>
            <w:r w:rsidRPr="0059396B">
              <w:rPr>
                <w:rFonts w:eastAsia="Calibri"/>
              </w:rPr>
              <w:t>STAI Trait</w:t>
            </w:r>
          </w:p>
        </w:tc>
        <w:tc>
          <w:tcPr>
            <w:tcW w:w="2214" w:type="dxa"/>
            <w:tcBorders>
              <w:top w:val="single" w:sz="4" w:space="0" w:color="auto"/>
              <w:left w:val="nil"/>
              <w:bottom w:val="nil"/>
              <w:right w:val="nil"/>
            </w:tcBorders>
          </w:tcPr>
          <w:p w14:paraId="1B1EC4EA" w14:textId="77777777" w:rsidR="00D34A51" w:rsidRPr="0059396B" w:rsidRDefault="00D34A51" w:rsidP="00E621BB">
            <w:pPr>
              <w:jc w:val="both"/>
              <w:rPr>
                <w:rFonts w:eastAsia="Calibri"/>
                <w:b/>
                <w:bCs/>
              </w:rPr>
            </w:pPr>
            <w:r w:rsidRPr="0059396B">
              <w:rPr>
                <w:rFonts w:eastAsia="Calibri"/>
              </w:rPr>
              <w:t>36.68</w:t>
            </w:r>
          </w:p>
        </w:tc>
        <w:tc>
          <w:tcPr>
            <w:tcW w:w="2336" w:type="dxa"/>
            <w:tcBorders>
              <w:top w:val="single" w:sz="4" w:space="0" w:color="auto"/>
              <w:left w:val="nil"/>
              <w:bottom w:val="nil"/>
              <w:right w:val="nil"/>
            </w:tcBorders>
          </w:tcPr>
          <w:p w14:paraId="0674FB2F" w14:textId="77777777" w:rsidR="00D34A51" w:rsidRPr="0059396B" w:rsidRDefault="00D34A51" w:rsidP="00E621BB">
            <w:pPr>
              <w:jc w:val="both"/>
              <w:rPr>
                <w:rFonts w:eastAsia="Calibri"/>
                <w:b/>
                <w:bCs/>
              </w:rPr>
            </w:pPr>
            <w:r w:rsidRPr="0059396B">
              <w:rPr>
                <w:rFonts w:eastAsia="Calibri"/>
              </w:rPr>
              <w:t>9.25</w:t>
            </w:r>
          </w:p>
        </w:tc>
        <w:tc>
          <w:tcPr>
            <w:tcW w:w="2025" w:type="dxa"/>
            <w:tcBorders>
              <w:top w:val="single" w:sz="4" w:space="0" w:color="auto"/>
              <w:left w:val="nil"/>
              <w:bottom w:val="nil"/>
              <w:right w:val="nil"/>
            </w:tcBorders>
          </w:tcPr>
          <w:p w14:paraId="50D4FA10" w14:textId="77777777" w:rsidR="00D34A51" w:rsidRPr="0059396B" w:rsidRDefault="00D34A51" w:rsidP="00E621BB">
            <w:pPr>
              <w:jc w:val="both"/>
              <w:rPr>
                <w:rFonts w:eastAsia="Calibri"/>
              </w:rPr>
            </w:pPr>
            <w:r w:rsidRPr="0059396B">
              <w:rPr>
                <w:rFonts w:eastAsia="Calibri"/>
              </w:rPr>
              <w:t>31</w:t>
            </w:r>
          </w:p>
        </w:tc>
      </w:tr>
      <w:tr w:rsidR="00D34A51" w:rsidRPr="0059396B" w14:paraId="10B18EB4" w14:textId="77777777" w:rsidTr="00E621BB">
        <w:tc>
          <w:tcPr>
            <w:tcW w:w="2497" w:type="dxa"/>
            <w:tcBorders>
              <w:top w:val="nil"/>
              <w:left w:val="nil"/>
              <w:bottom w:val="nil"/>
              <w:right w:val="nil"/>
            </w:tcBorders>
          </w:tcPr>
          <w:p w14:paraId="6D863D52" w14:textId="77777777" w:rsidR="00D34A51" w:rsidRPr="0059396B" w:rsidRDefault="00D34A51" w:rsidP="00E621BB">
            <w:pPr>
              <w:jc w:val="both"/>
              <w:rPr>
                <w:rFonts w:eastAsia="Calibri"/>
                <w:b/>
                <w:bCs/>
              </w:rPr>
            </w:pPr>
            <w:r w:rsidRPr="0059396B">
              <w:rPr>
                <w:rFonts w:eastAsia="Calibri"/>
              </w:rPr>
              <w:t>IUS</w:t>
            </w:r>
          </w:p>
        </w:tc>
        <w:tc>
          <w:tcPr>
            <w:tcW w:w="2214" w:type="dxa"/>
            <w:tcBorders>
              <w:top w:val="nil"/>
              <w:left w:val="nil"/>
              <w:bottom w:val="nil"/>
              <w:right w:val="nil"/>
            </w:tcBorders>
          </w:tcPr>
          <w:p w14:paraId="51EB5937" w14:textId="77777777" w:rsidR="00D34A51" w:rsidRPr="0059396B" w:rsidRDefault="00D34A51" w:rsidP="00E621BB">
            <w:pPr>
              <w:jc w:val="both"/>
              <w:rPr>
                <w:rFonts w:eastAsia="Calibri"/>
                <w:b/>
                <w:bCs/>
              </w:rPr>
            </w:pPr>
            <w:r w:rsidRPr="0059396B">
              <w:rPr>
                <w:rFonts w:eastAsia="Calibri"/>
              </w:rPr>
              <w:t>63.20</w:t>
            </w:r>
          </w:p>
        </w:tc>
        <w:tc>
          <w:tcPr>
            <w:tcW w:w="2336" w:type="dxa"/>
            <w:tcBorders>
              <w:top w:val="nil"/>
              <w:left w:val="nil"/>
              <w:bottom w:val="nil"/>
              <w:right w:val="nil"/>
            </w:tcBorders>
          </w:tcPr>
          <w:p w14:paraId="4CCA7882" w14:textId="77777777" w:rsidR="00D34A51" w:rsidRPr="0059396B" w:rsidRDefault="00D34A51" w:rsidP="00E621BB">
            <w:pPr>
              <w:jc w:val="both"/>
              <w:rPr>
                <w:rFonts w:eastAsia="Calibri"/>
                <w:b/>
                <w:bCs/>
              </w:rPr>
            </w:pPr>
            <w:r w:rsidRPr="0059396B">
              <w:rPr>
                <w:rFonts w:eastAsia="Calibri"/>
              </w:rPr>
              <w:t>13.46</w:t>
            </w:r>
          </w:p>
        </w:tc>
        <w:tc>
          <w:tcPr>
            <w:tcW w:w="2025" w:type="dxa"/>
            <w:tcBorders>
              <w:top w:val="nil"/>
              <w:left w:val="nil"/>
              <w:bottom w:val="nil"/>
              <w:right w:val="nil"/>
            </w:tcBorders>
          </w:tcPr>
          <w:p w14:paraId="0E7DF1CA" w14:textId="77777777" w:rsidR="00D34A51" w:rsidRPr="0059396B" w:rsidRDefault="00D34A51" w:rsidP="00E621BB">
            <w:pPr>
              <w:jc w:val="both"/>
              <w:rPr>
                <w:rFonts w:eastAsia="Calibri"/>
              </w:rPr>
            </w:pPr>
            <w:r w:rsidRPr="0059396B">
              <w:rPr>
                <w:rFonts w:eastAsia="Calibri"/>
              </w:rPr>
              <w:t>30</w:t>
            </w:r>
          </w:p>
        </w:tc>
      </w:tr>
      <w:tr w:rsidR="00D34A51" w:rsidRPr="0059396B" w14:paraId="66AD5422" w14:textId="77777777" w:rsidTr="00E621BB">
        <w:tc>
          <w:tcPr>
            <w:tcW w:w="2497" w:type="dxa"/>
            <w:tcBorders>
              <w:top w:val="nil"/>
              <w:left w:val="nil"/>
              <w:bottom w:val="nil"/>
              <w:right w:val="nil"/>
            </w:tcBorders>
          </w:tcPr>
          <w:p w14:paraId="06BC4B56" w14:textId="77777777" w:rsidR="00D34A51" w:rsidRPr="0059396B" w:rsidRDefault="00D34A51" w:rsidP="00E621BB">
            <w:pPr>
              <w:jc w:val="both"/>
              <w:rPr>
                <w:rFonts w:eastAsia="Calibri"/>
                <w:b/>
                <w:bCs/>
              </w:rPr>
            </w:pPr>
            <w:r w:rsidRPr="0059396B">
              <w:rPr>
                <w:rFonts w:eastAsia="Calibri"/>
              </w:rPr>
              <w:t>Prospective subscale</w:t>
            </w:r>
          </w:p>
        </w:tc>
        <w:tc>
          <w:tcPr>
            <w:tcW w:w="2214" w:type="dxa"/>
            <w:tcBorders>
              <w:top w:val="nil"/>
              <w:left w:val="nil"/>
              <w:bottom w:val="nil"/>
              <w:right w:val="nil"/>
            </w:tcBorders>
          </w:tcPr>
          <w:p w14:paraId="00A2E1B6" w14:textId="77777777" w:rsidR="00D34A51" w:rsidRPr="0059396B" w:rsidRDefault="00D34A51" w:rsidP="00E621BB">
            <w:pPr>
              <w:jc w:val="both"/>
              <w:rPr>
                <w:rFonts w:eastAsia="Calibri"/>
                <w:b/>
                <w:bCs/>
              </w:rPr>
            </w:pPr>
            <w:r w:rsidRPr="0059396B">
              <w:rPr>
                <w:rFonts w:eastAsia="Calibri"/>
              </w:rPr>
              <w:t>17.47</w:t>
            </w:r>
          </w:p>
        </w:tc>
        <w:tc>
          <w:tcPr>
            <w:tcW w:w="2336" w:type="dxa"/>
            <w:tcBorders>
              <w:top w:val="nil"/>
              <w:left w:val="nil"/>
              <w:bottom w:val="nil"/>
              <w:right w:val="nil"/>
            </w:tcBorders>
          </w:tcPr>
          <w:p w14:paraId="03B9B0D4" w14:textId="77777777" w:rsidR="00D34A51" w:rsidRPr="0059396B" w:rsidRDefault="00D34A51" w:rsidP="00E621BB">
            <w:pPr>
              <w:jc w:val="both"/>
              <w:rPr>
                <w:rFonts w:eastAsia="Calibri"/>
                <w:b/>
                <w:bCs/>
              </w:rPr>
            </w:pPr>
            <w:r w:rsidRPr="0059396B">
              <w:rPr>
                <w:rFonts w:eastAsia="Calibri"/>
              </w:rPr>
              <w:t>4.95</w:t>
            </w:r>
          </w:p>
        </w:tc>
        <w:tc>
          <w:tcPr>
            <w:tcW w:w="2025" w:type="dxa"/>
            <w:tcBorders>
              <w:top w:val="nil"/>
              <w:left w:val="nil"/>
              <w:bottom w:val="nil"/>
              <w:right w:val="nil"/>
            </w:tcBorders>
          </w:tcPr>
          <w:p w14:paraId="05C160DB" w14:textId="77777777" w:rsidR="00D34A51" w:rsidRPr="0059396B" w:rsidRDefault="00D34A51" w:rsidP="00E621BB">
            <w:pPr>
              <w:jc w:val="both"/>
              <w:rPr>
                <w:rFonts w:eastAsia="Calibri"/>
              </w:rPr>
            </w:pPr>
            <w:r w:rsidRPr="0059396B">
              <w:rPr>
                <w:rFonts w:eastAsia="Calibri"/>
              </w:rPr>
              <w:t>30</w:t>
            </w:r>
          </w:p>
        </w:tc>
      </w:tr>
      <w:tr w:rsidR="00D34A51" w:rsidRPr="0059396B" w14:paraId="04CD8BD8" w14:textId="77777777" w:rsidTr="00E621BB">
        <w:tc>
          <w:tcPr>
            <w:tcW w:w="2497" w:type="dxa"/>
            <w:tcBorders>
              <w:top w:val="nil"/>
              <w:left w:val="nil"/>
              <w:bottom w:val="nil"/>
              <w:right w:val="nil"/>
            </w:tcBorders>
          </w:tcPr>
          <w:p w14:paraId="22817B1D" w14:textId="77777777" w:rsidR="00D34A51" w:rsidRPr="0059396B" w:rsidRDefault="00D34A51" w:rsidP="00E621BB">
            <w:pPr>
              <w:jc w:val="both"/>
              <w:rPr>
                <w:rFonts w:eastAsia="Calibri"/>
                <w:b/>
                <w:bCs/>
              </w:rPr>
            </w:pPr>
            <w:r w:rsidRPr="0059396B">
              <w:rPr>
                <w:rFonts w:eastAsia="Calibri"/>
              </w:rPr>
              <w:t>Inhibitory subscale</w:t>
            </w:r>
          </w:p>
        </w:tc>
        <w:tc>
          <w:tcPr>
            <w:tcW w:w="2214" w:type="dxa"/>
            <w:tcBorders>
              <w:top w:val="nil"/>
              <w:left w:val="nil"/>
              <w:bottom w:val="nil"/>
              <w:right w:val="nil"/>
            </w:tcBorders>
          </w:tcPr>
          <w:p w14:paraId="5C5CD8FB" w14:textId="77777777" w:rsidR="00D34A51" w:rsidRPr="0059396B" w:rsidRDefault="00D34A51" w:rsidP="00E621BB">
            <w:pPr>
              <w:jc w:val="both"/>
              <w:rPr>
                <w:rFonts w:eastAsia="Calibri"/>
                <w:b/>
                <w:bCs/>
              </w:rPr>
            </w:pPr>
            <w:r w:rsidRPr="0059396B">
              <w:rPr>
                <w:rFonts w:eastAsia="Calibri"/>
              </w:rPr>
              <w:t>10.20</w:t>
            </w:r>
          </w:p>
        </w:tc>
        <w:tc>
          <w:tcPr>
            <w:tcW w:w="2336" w:type="dxa"/>
            <w:tcBorders>
              <w:top w:val="nil"/>
              <w:left w:val="nil"/>
              <w:bottom w:val="nil"/>
              <w:right w:val="nil"/>
            </w:tcBorders>
          </w:tcPr>
          <w:p w14:paraId="70FD0007" w14:textId="77777777" w:rsidR="00D34A51" w:rsidRPr="0059396B" w:rsidRDefault="00D34A51" w:rsidP="00E621BB">
            <w:pPr>
              <w:jc w:val="both"/>
              <w:rPr>
                <w:rFonts w:eastAsia="Calibri"/>
                <w:b/>
                <w:bCs/>
              </w:rPr>
            </w:pPr>
            <w:r w:rsidRPr="0059396B">
              <w:rPr>
                <w:rFonts w:eastAsia="Calibri"/>
              </w:rPr>
              <w:t>3.36</w:t>
            </w:r>
          </w:p>
        </w:tc>
        <w:tc>
          <w:tcPr>
            <w:tcW w:w="2025" w:type="dxa"/>
            <w:tcBorders>
              <w:top w:val="nil"/>
              <w:left w:val="nil"/>
              <w:bottom w:val="nil"/>
              <w:right w:val="nil"/>
            </w:tcBorders>
          </w:tcPr>
          <w:p w14:paraId="34F70D7F" w14:textId="77777777" w:rsidR="00D34A51" w:rsidRPr="0059396B" w:rsidRDefault="00D34A51" w:rsidP="00E621BB">
            <w:pPr>
              <w:jc w:val="both"/>
              <w:rPr>
                <w:rFonts w:eastAsia="Calibri"/>
              </w:rPr>
            </w:pPr>
            <w:r w:rsidRPr="0059396B">
              <w:rPr>
                <w:rFonts w:eastAsia="Calibri"/>
              </w:rPr>
              <w:t>30</w:t>
            </w:r>
          </w:p>
        </w:tc>
      </w:tr>
      <w:tr w:rsidR="00D34A51" w:rsidRPr="0059396B" w14:paraId="7CBF3B58" w14:textId="77777777" w:rsidTr="00E621BB">
        <w:tc>
          <w:tcPr>
            <w:tcW w:w="2497" w:type="dxa"/>
            <w:tcBorders>
              <w:top w:val="nil"/>
              <w:left w:val="nil"/>
              <w:bottom w:val="nil"/>
              <w:right w:val="nil"/>
            </w:tcBorders>
          </w:tcPr>
          <w:p w14:paraId="5C7A949D" w14:textId="77777777" w:rsidR="00D34A51" w:rsidRPr="0059396B" w:rsidRDefault="00D34A51" w:rsidP="00E621BB">
            <w:pPr>
              <w:jc w:val="both"/>
              <w:rPr>
                <w:rFonts w:eastAsia="Calibri"/>
                <w:b/>
                <w:bCs/>
              </w:rPr>
            </w:pPr>
            <w:r w:rsidRPr="0059396B">
              <w:rPr>
                <w:rFonts w:eastAsia="Calibri"/>
              </w:rPr>
              <w:t>DTS</w:t>
            </w:r>
          </w:p>
        </w:tc>
        <w:tc>
          <w:tcPr>
            <w:tcW w:w="2214" w:type="dxa"/>
            <w:tcBorders>
              <w:top w:val="nil"/>
              <w:left w:val="nil"/>
              <w:bottom w:val="nil"/>
              <w:right w:val="nil"/>
            </w:tcBorders>
          </w:tcPr>
          <w:p w14:paraId="65A43F3F" w14:textId="77777777" w:rsidR="00D34A51" w:rsidRPr="0059396B" w:rsidRDefault="00D34A51" w:rsidP="00E621BB">
            <w:pPr>
              <w:jc w:val="both"/>
              <w:rPr>
                <w:rFonts w:eastAsia="Calibri"/>
                <w:b/>
                <w:bCs/>
              </w:rPr>
            </w:pPr>
            <w:r w:rsidRPr="0059396B">
              <w:rPr>
                <w:rFonts w:eastAsia="Calibri"/>
              </w:rPr>
              <w:t>3.69</w:t>
            </w:r>
          </w:p>
        </w:tc>
        <w:tc>
          <w:tcPr>
            <w:tcW w:w="2336" w:type="dxa"/>
            <w:tcBorders>
              <w:top w:val="nil"/>
              <w:left w:val="nil"/>
              <w:bottom w:val="nil"/>
              <w:right w:val="nil"/>
            </w:tcBorders>
          </w:tcPr>
          <w:p w14:paraId="691B4986" w14:textId="77777777" w:rsidR="00D34A51" w:rsidRPr="0059396B" w:rsidRDefault="00D34A51" w:rsidP="00E621BB">
            <w:pPr>
              <w:jc w:val="both"/>
              <w:rPr>
                <w:rFonts w:eastAsia="Calibri"/>
                <w:b/>
                <w:bCs/>
              </w:rPr>
            </w:pPr>
            <w:r w:rsidRPr="0059396B">
              <w:rPr>
                <w:rFonts w:eastAsia="Calibri"/>
              </w:rPr>
              <w:t>0.67</w:t>
            </w:r>
          </w:p>
        </w:tc>
        <w:tc>
          <w:tcPr>
            <w:tcW w:w="2025" w:type="dxa"/>
            <w:tcBorders>
              <w:top w:val="nil"/>
              <w:left w:val="nil"/>
              <w:bottom w:val="nil"/>
              <w:right w:val="nil"/>
            </w:tcBorders>
          </w:tcPr>
          <w:p w14:paraId="56E07A43" w14:textId="77777777" w:rsidR="00D34A51" w:rsidRPr="0059396B" w:rsidRDefault="00D34A51" w:rsidP="00E621BB">
            <w:pPr>
              <w:jc w:val="both"/>
              <w:rPr>
                <w:rFonts w:eastAsia="Calibri"/>
              </w:rPr>
            </w:pPr>
            <w:r w:rsidRPr="0059396B">
              <w:rPr>
                <w:rFonts w:eastAsia="Calibri"/>
              </w:rPr>
              <w:t>31</w:t>
            </w:r>
          </w:p>
        </w:tc>
      </w:tr>
      <w:tr w:rsidR="00D34A51" w:rsidRPr="0059396B" w14:paraId="4E50FE14" w14:textId="77777777" w:rsidTr="00E621BB">
        <w:tc>
          <w:tcPr>
            <w:tcW w:w="2497" w:type="dxa"/>
            <w:tcBorders>
              <w:top w:val="nil"/>
              <w:left w:val="nil"/>
              <w:bottom w:val="nil"/>
              <w:right w:val="nil"/>
            </w:tcBorders>
          </w:tcPr>
          <w:p w14:paraId="4F54AB75" w14:textId="77777777" w:rsidR="00D34A51" w:rsidRPr="0059396B" w:rsidRDefault="00D34A51" w:rsidP="00E621BB">
            <w:pPr>
              <w:jc w:val="both"/>
              <w:rPr>
                <w:rFonts w:eastAsia="Calibri"/>
                <w:b/>
                <w:bCs/>
              </w:rPr>
            </w:pPr>
            <w:r w:rsidRPr="0059396B">
              <w:rPr>
                <w:rFonts w:eastAsia="Calibri"/>
              </w:rPr>
              <w:t>Absorption subscale</w:t>
            </w:r>
          </w:p>
        </w:tc>
        <w:tc>
          <w:tcPr>
            <w:tcW w:w="2214" w:type="dxa"/>
            <w:tcBorders>
              <w:top w:val="nil"/>
              <w:left w:val="nil"/>
              <w:bottom w:val="nil"/>
              <w:right w:val="nil"/>
            </w:tcBorders>
          </w:tcPr>
          <w:p w14:paraId="7E429785" w14:textId="77777777" w:rsidR="00D34A51" w:rsidRPr="0059396B" w:rsidRDefault="00D34A51" w:rsidP="00E621BB">
            <w:pPr>
              <w:jc w:val="both"/>
              <w:rPr>
                <w:rFonts w:eastAsia="Calibri"/>
                <w:b/>
                <w:bCs/>
              </w:rPr>
            </w:pPr>
            <w:r w:rsidRPr="0059396B">
              <w:rPr>
                <w:rFonts w:eastAsia="Calibri"/>
              </w:rPr>
              <w:t>3.59</w:t>
            </w:r>
          </w:p>
        </w:tc>
        <w:tc>
          <w:tcPr>
            <w:tcW w:w="2336" w:type="dxa"/>
            <w:tcBorders>
              <w:top w:val="nil"/>
              <w:left w:val="nil"/>
              <w:bottom w:val="nil"/>
              <w:right w:val="nil"/>
            </w:tcBorders>
          </w:tcPr>
          <w:p w14:paraId="5BBBB85C" w14:textId="77777777" w:rsidR="00D34A51" w:rsidRPr="0059396B" w:rsidRDefault="00D34A51" w:rsidP="00E621BB">
            <w:pPr>
              <w:jc w:val="both"/>
              <w:rPr>
                <w:rFonts w:eastAsia="Calibri"/>
                <w:b/>
                <w:bCs/>
              </w:rPr>
            </w:pPr>
            <w:r w:rsidRPr="0059396B">
              <w:rPr>
                <w:rFonts w:eastAsia="Calibri"/>
              </w:rPr>
              <w:t>0.87</w:t>
            </w:r>
          </w:p>
        </w:tc>
        <w:tc>
          <w:tcPr>
            <w:tcW w:w="2025" w:type="dxa"/>
            <w:tcBorders>
              <w:top w:val="nil"/>
              <w:left w:val="nil"/>
              <w:bottom w:val="nil"/>
              <w:right w:val="nil"/>
            </w:tcBorders>
          </w:tcPr>
          <w:p w14:paraId="4B9C82C1" w14:textId="77777777" w:rsidR="00D34A51" w:rsidRPr="0059396B" w:rsidRDefault="00D34A51" w:rsidP="00E621BB">
            <w:pPr>
              <w:jc w:val="both"/>
              <w:rPr>
                <w:rFonts w:eastAsia="Calibri"/>
              </w:rPr>
            </w:pPr>
            <w:r w:rsidRPr="0059396B">
              <w:rPr>
                <w:rFonts w:eastAsia="Calibri"/>
              </w:rPr>
              <w:t>31</w:t>
            </w:r>
          </w:p>
        </w:tc>
      </w:tr>
      <w:tr w:rsidR="00D34A51" w:rsidRPr="0059396B" w14:paraId="342B913C" w14:textId="77777777" w:rsidTr="00E621BB">
        <w:tc>
          <w:tcPr>
            <w:tcW w:w="2497" w:type="dxa"/>
            <w:tcBorders>
              <w:top w:val="nil"/>
              <w:left w:val="nil"/>
              <w:bottom w:val="nil"/>
              <w:right w:val="nil"/>
            </w:tcBorders>
          </w:tcPr>
          <w:p w14:paraId="1430288C" w14:textId="77777777" w:rsidR="00D34A51" w:rsidRPr="0059396B" w:rsidRDefault="00D34A51" w:rsidP="00E621BB">
            <w:pPr>
              <w:jc w:val="both"/>
              <w:rPr>
                <w:rFonts w:eastAsia="Calibri"/>
                <w:b/>
                <w:bCs/>
              </w:rPr>
            </w:pPr>
            <w:r w:rsidRPr="0059396B">
              <w:rPr>
                <w:rFonts w:eastAsia="Calibri"/>
              </w:rPr>
              <w:t>Appraisal subscale</w:t>
            </w:r>
          </w:p>
        </w:tc>
        <w:tc>
          <w:tcPr>
            <w:tcW w:w="2214" w:type="dxa"/>
            <w:tcBorders>
              <w:top w:val="nil"/>
              <w:left w:val="nil"/>
              <w:bottom w:val="nil"/>
              <w:right w:val="nil"/>
            </w:tcBorders>
          </w:tcPr>
          <w:p w14:paraId="16905030" w14:textId="77777777" w:rsidR="00D34A51" w:rsidRPr="0059396B" w:rsidRDefault="00D34A51" w:rsidP="00E621BB">
            <w:pPr>
              <w:jc w:val="both"/>
              <w:rPr>
                <w:rFonts w:eastAsia="Calibri"/>
                <w:b/>
                <w:bCs/>
              </w:rPr>
            </w:pPr>
            <w:r w:rsidRPr="0059396B">
              <w:rPr>
                <w:rFonts w:eastAsia="Calibri"/>
              </w:rPr>
              <w:t>3.85</w:t>
            </w:r>
          </w:p>
        </w:tc>
        <w:tc>
          <w:tcPr>
            <w:tcW w:w="2336" w:type="dxa"/>
            <w:tcBorders>
              <w:top w:val="nil"/>
              <w:left w:val="nil"/>
              <w:bottom w:val="nil"/>
              <w:right w:val="nil"/>
            </w:tcBorders>
          </w:tcPr>
          <w:p w14:paraId="3961064C" w14:textId="77777777" w:rsidR="00D34A51" w:rsidRPr="0059396B" w:rsidRDefault="00D34A51" w:rsidP="00E621BB">
            <w:pPr>
              <w:jc w:val="both"/>
              <w:rPr>
                <w:rFonts w:eastAsia="Calibri"/>
                <w:b/>
                <w:bCs/>
              </w:rPr>
            </w:pPr>
            <w:r w:rsidRPr="0059396B">
              <w:rPr>
                <w:rFonts w:eastAsia="Calibri"/>
              </w:rPr>
              <w:t>0.77</w:t>
            </w:r>
          </w:p>
        </w:tc>
        <w:tc>
          <w:tcPr>
            <w:tcW w:w="2025" w:type="dxa"/>
            <w:tcBorders>
              <w:top w:val="nil"/>
              <w:left w:val="nil"/>
              <w:bottom w:val="nil"/>
              <w:right w:val="nil"/>
            </w:tcBorders>
          </w:tcPr>
          <w:p w14:paraId="5A3B68AD" w14:textId="77777777" w:rsidR="00D34A51" w:rsidRPr="0059396B" w:rsidRDefault="00D34A51" w:rsidP="00E621BB">
            <w:pPr>
              <w:jc w:val="both"/>
              <w:rPr>
                <w:rFonts w:eastAsia="Calibri"/>
              </w:rPr>
            </w:pPr>
            <w:r w:rsidRPr="0059396B">
              <w:rPr>
                <w:rFonts w:eastAsia="Calibri"/>
              </w:rPr>
              <w:t>31</w:t>
            </w:r>
          </w:p>
        </w:tc>
      </w:tr>
      <w:tr w:rsidR="00D34A51" w:rsidRPr="0059396B" w14:paraId="6FB2F080" w14:textId="77777777" w:rsidTr="00E621BB">
        <w:tc>
          <w:tcPr>
            <w:tcW w:w="2497" w:type="dxa"/>
            <w:tcBorders>
              <w:top w:val="nil"/>
              <w:left w:val="nil"/>
              <w:bottom w:val="nil"/>
              <w:right w:val="nil"/>
            </w:tcBorders>
          </w:tcPr>
          <w:p w14:paraId="066F8337" w14:textId="77777777" w:rsidR="00D34A51" w:rsidRPr="0059396B" w:rsidRDefault="00D34A51" w:rsidP="00E621BB">
            <w:pPr>
              <w:jc w:val="both"/>
              <w:rPr>
                <w:rFonts w:eastAsia="Calibri"/>
                <w:b/>
                <w:bCs/>
              </w:rPr>
            </w:pPr>
            <w:r w:rsidRPr="0059396B">
              <w:rPr>
                <w:rFonts w:eastAsia="Calibri"/>
              </w:rPr>
              <w:t>Regulation subscale</w:t>
            </w:r>
          </w:p>
        </w:tc>
        <w:tc>
          <w:tcPr>
            <w:tcW w:w="2214" w:type="dxa"/>
            <w:tcBorders>
              <w:top w:val="nil"/>
              <w:left w:val="nil"/>
              <w:bottom w:val="nil"/>
              <w:right w:val="nil"/>
            </w:tcBorders>
          </w:tcPr>
          <w:p w14:paraId="7F099557" w14:textId="77777777" w:rsidR="00D34A51" w:rsidRPr="0059396B" w:rsidRDefault="00D34A51" w:rsidP="00E621BB">
            <w:pPr>
              <w:jc w:val="both"/>
              <w:rPr>
                <w:rFonts w:eastAsia="Calibri"/>
                <w:b/>
                <w:bCs/>
              </w:rPr>
            </w:pPr>
            <w:r w:rsidRPr="0059396B">
              <w:rPr>
                <w:rFonts w:eastAsia="Calibri"/>
              </w:rPr>
              <w:t>3.46</w:t>
            </w:r>
          </w:p>
        </w:tc>
        <w:tc>
          <w:tcPr>
            <w:tcW w:w="2336" w:type="dxa"/>
            <w:tcBorders>
              <w:top w:val="nil"/>
              <w:left w:val="nil"/>
              <w:bottom w:val="nil"/>
              <w:right w:val="nil"/>
            </w:tcBorders>
          </w:tcPr>
          <w:p w14:paraId="2DB32BEF" w14:textId="77777777" w:rsidR="00D34A51" w:rsidRPr="0059396B" w:rsidRDefault="00D34A51" w:rsidP="00E621BB">
            <w:pPr>
              <w:jc w:val="both"/>
              <w:rPr>
                <w:rFonts w:eastAsia="Calibri"/>
                <w:b/>
                <w:bCs/>
              </w:rPr>
            </w:pPr>
            <w:r w:rsidRPr="0059396B">
              <w:rPr>
                <w:rFonts w:eastAsia="Calibri"/>
              </w:rPr>
              <w:t>0.79</w:t>
            </w:r>
          </w:p>
        </w:tc>
        <w:tc>
          <w:tcPr>
            <w:tcW w:w="2025" w:type="dxa"/>
            <w:tcBorders>
              <w:top w:val="nil"/>
              <w:left w:val="nil"/>
              <w:bottom w:val="nil"/>
              <w:right w:val="nil"/>
            </w:tcBorders>
          </w:tcPr>
          <w:p w14:paraId="4DA93715" w14:textId="77777777" w:rsidR="00D34A51" w:rsidRPr="0059396B" w:rsidRDefault="00D34A51" w:rsidP="00E621BB">
            <w:pPr>
              <w:jc w:val="both"/>
              <w:rPr>
                <w:rFonts w:eastAsia="Calibri"/>
              </w:rPr>
            </w:pPr>
            <w:r w:rsidRPr="0059396B">
              <w:rPr>
                <w:rFonts w:eastAsia="Calibri"/>
              </w:rPr>
              <w:t>31</w:t>
            </w:r>
          </w:p>
        </w:tc>
      </w:tr>
      <w:tr w:rsidR="00D34A51" w:rsidRPr="0059396B" w14:paraId="51B983BE" w14:textId="77777777" w:rsidTr="00E621BB">
        <w:tc>
          <w:tcPr>
            <w:tcW w:w="2497" w:type="dxa"/>
            <w:tcBorders>
              <w:top w:val="nil"/>
              <w:left w:val="nil"/>
              <w:bottom w:val="nil"/>
              <w:right w:val="nil"/>
            </w:tcBorders>
          </w:tcPr>
          <w:p w14:paraId="3EC15077" w14:textId="77777777" w:rsidR="00D34A51" w:rsidRPr="0059396B" w:rsidRDefault="00D34A51" w:rsidP="00E621BB">
            <w:pPr>
              <w:jc w:val="both"/>
              <w:rPr>
                <w:rFonts w:eastAsia="Calibri"/>
                <w:b/>
                <w:bCs/>
              </w:rPr>
            </w:pPr>
            <w:r w:rsidRPr="0059396B">
              <w:rPr>
                <w:rFonts w:eastAsia="Calibri"/>
              </w:rPr>
              <w:t>Tolerance subscale</w:t>
            </w:r>
          </w:p>
        </w:tc>
        <w:tc>
          <w:tcPr>
            <w:tcW w:w="2214" w:type="dxa"/>
            <w:tcBorders>
              <w:top w:val="nil"/>
              <w:left w:val="nil"/>
              <w:bottom w:val="nil"/>
              <w:right w:val="nil"/>
            </w:tcBorders>
          </w:tcPr>
          <w:p w14:paraId="1938C9B6" w14:textId="77777777" w:rsidR="00D34A51" w:rsidRPr="0059396B" w:rsidRDefault="00D34A51" w:rsidP="00E621BB">
            <w:pPr>
              <w:jc w:val="both"/>
              <w:rPr>
                <w:rFonts w:eastAsia="Calibri"/>
                <w:b/>
                <w:bCs/>
              </w:rPr>
            </w:pPr>
            <w:r w:rsidRPr="0059396B">
              <w:rPr>
                <w:rFonts w:eastAsia="Calibri"/>
              </w:rPr>
              <w:t>3.87</w:t>
            </w:r>
          </w:p>
        </w:tc>
        <w:tc>
          <w:tcPr>
            <w:tcW w:w="2336" w:type="dxa"/>
            <w:tcBorders>
              <w:top w:val="nil"/>
              <w:left w:val="nil"/>
              <w:bottom w:val="nil"/>
              <w:right w:val="nil"/>
            </w:tcBorders>
          </w:tcPr>
          <w:p w14:paraId="329F14D9" w14:textId="77777777" w:rsidR="00D34A51" w:rsidRPr="0059396B" w:rsidRDefault="00D34A51" w:rsidP="00E621BB">
            <w:pPr>
              <w:jc w:val="both"/>
              <w:rPr>
                <w:rFonts w:eastAsia="Calibri"/>
                <w:b/>
                <w:bCs/>
              </w:rPr>
            </w:pPr>
            <w:r w:rsidRPr="0059396B">
              <w:rPr>
                <w:rFonts w:eastAsia="Calibri"/>
              </w:rPr>
              <w:t>0.68</w:t>
            </w:r>
          </w:p>
        </w:tc>
        <w:tc>
          <w:tcPr>
            <w:tcW w:w="2025" w:type="dxa"/>
            <w:tcBorders>
              <w:top w:val="nil"/>
              <w:left w:val="nil"/>
              <w:bottom w:val="nil"/>
              <w:right w:val="nil"/>
            </w:tcBorders>
          </w:tcPr>
          <w:p w14:paraId="1BEF987C" w14:textId="77777777" w:rsidR="00D34A51" w:rsidRPr="0059396B" w:rsidRDefault="00D34A51" w:rsidP="00E621BB">
            <w:pPr>
              <w:jc w:val="both"/>
              <w:rPr>
                <w:rFonts w:eastAsia="Calibri"/>
              </w:rPr>
            </w:pPr>
            <w:r w:rsidRPr="0059396B">
              <w:rPr>
                <w:rFonts w:eastAsia="Calibri"/>
              </w:rPr>
              <w:t>31</w:t>
            </w:r>
          </w:p>
        </w:tc>
      </w:tr>
      <w:tr w:rsidR="00D34A51" w:rsidRPr="0059396B" w14:paraId="4ABE75E8" w14:textId="77777777" w:rsidTr="00E621BB">
        <w:tc>
          <w:tcPr>
            <w:tcW w:w="2497" w:type="dxa"/>
            <w:tcBorders>
              <w:top w:val="nil"/>
              <w:left w:val="nil"/>
              <w:bottom w:val="nil"/>
              <w:right w:val="nil"/>
            </w:tcBorders>
          </w:tcPr>
          <w:p w14:paraId="550000CA" w14:textId="77777777" w:rsidR="00D34A51" w:rsidRPr="0059396B" w:rsidRDefault="00D34A51" w:rsidP="00E621BB">
            <w:pPr>
              <w:jc w:val="both"/>
              <w:rPr>
                <w:rFonts w:eastAsia="Calibri"/>
                <w:b/>
                <w:bCs/>
              </w:rPr>
            </w:pPr>
            <w:r w:rsidRPr="0059396B">
              <w:rPr>
                <w:rFonts w:eastAsia="Calibri"/>
              </w:rPr>
              <w:t xml:space="preserve">DASS </w:t>
            </w:r>
          </w:p>
        </w:tc>
        <w:tc>
          <w:tcPr>
            <w:tcW w:w="2214" w:type="dxa"/>
            <w:tcBorders>
              <w:top w:val="nil"/>
              <w:left w:val="nil"/>
              <w:bottom w:val="nil"/>
              <w:right w:val="nil"/>
            </w:tcBorders>
          </w:tcPr>
          <w:p w14:paraId="7C2B2D61" w14:textId="77777777" w:rsidR="00D34A51" w:rsidRPr="0059396B" w:rsidRDefault="00D34A51" w:rsidP="00E621BB">
            <w:pPr>
              <w:jc w:val="both"/>
              <w:rPr>
                <w:rFonts w:eastAsia="Calibri"/>
                <w:b/>
                <w:bCs/>
              </w:rPr>
            </w:pPr>
          </w:p>
        </w:tc>
        <w:tc>
          <w:tcPr>
            <w:tcW w:w="2336" w:type="dxa"/>
            <w:tcBorders>
              <w:top w:val="nil"/>
              <w:left w:val="nil"/>
              <w:bottom w:val="nil"/>
              <w:right w:val="nil"/>
            </w:tcBorders>
          </w:tcPr>
          <w:p w14:paraId="1F78E6F0" w14:textId="77777777" w:rsidR="00D34A51" w:rsidRPr="0059396B" w:rsidRDefault="00D34A51" w:rsidP="00E621BB">
            <w:pPr>
              <w:jc w:val="both"/>
              <w:rPr>
                <w:rFonts w:eastAsia="Calibri"/>
                <w:b/>
                <w:bCs/>
              </w:rPr>
            </w:pPr>
          </w:p>
        </w:tc>
        <w:tc>
          <w:tcPr>
            <w:tcW w:w="2025" w:type="dxa"/>
            <w:tcBorders>
              <w:top w:val="nil"/>
              <w:left w:val="nil"/>
              <w:bottom w:val="nil"/>
              <w:right w:val="nil"/>
            </w:tcBorders>
          </w:tcPr>
          <w:p w14:paraId="7C405309" w14:textId="77777777" w:rsidR="00D34A51" w:rsidRPr="0059396B" w:rsidRDefault="00D34A51" w:rsidP="00E621BB">
            <w:pPr>
              <w:jc w:val="both"/>
              <w:rPr>
                <w:rFonts w:eastAsia="Calibri"/>
                <w:b/>
                <w:bCs/>
              </w:rPr>
            </w:pPr>
          </w:p>
        </w:tc>
      </w:tr>
      <w:tr w:rsidR="00D34A51" w:rsidRPr="0059396B" w14:paraId="2E3E95F5" w14:textId="77777777" w:rsidTr="00E621BB">
        <w:tc>
          <w:tcPr>
            <w:tcW w:w="2497" w:type="dxa"/>
            <w:tcBorders>
              <w:top w:val="nil"/>
              <w:left w:val="nil"/>
              <w:bottom w:val="nil"/>
              <w:right w:val="nil"/>
            </w:tcBorders>
          </w:tcPr>
          <w:p w14:paraId="07BE2604" w14:textId="77777777" w:rsidR="00D34A51" w:rsidRPr="0059396B" w:rsidRDefault="00D34A51" w:rsidP="00E621BB">
            <w:pPr>
              <w:jc w:val="both"/>
              <w:rPr>
                <w:rFonts w:eastAsia="Calibri"/>
                <w:b/>
                <w:bCs/>
              </w:rPr>
            </w:pPr>
            <w:r w:rsidRPr="0059396B">
              <w:rPr>
                <w:rFonts w:eastAsia="Calibri"/>
              </w:rPr>
              <w:t>Depression subscale</w:t>
            </w:r>
          </w:p>
        </w:tc>
        <w:tc>
          <w:tcPr>
            <w:tcW w:w="2214" w:type="dxa"/>
            <w:tcBorders>
              <w:top w:val="nil"/>
              <w:left w:val="nil"/>
              <w:bottom w:val="nil"/>
              <w:right w:val="nil"/>
            </w:tcBorders>
          </w:tcPr>
          <w:p w14:paraId="24C52E0A" w14:textId="77777777" w:rsidR="00D34A51" w:rsidRPr="0059396B" w:rsidRDefault="00D34A51" w:rsidP="00E621BB">
            <w:pPr>
              <w:jc w:val="both"/>
              <w:rPr>
                <w:rFonts w:eastAsia="Calibri"/>
                <w:b/>
                <w:bCs/>
              </w:rPr>
            </w:pPr>
            <w:r w:rsidRPr="0059396B">
              <w:rPr>
                <w:rFonts w:eastAsia="Calibri"/>
              </w:rPr>
              <w:t>7.00</w:t>
            </w:r>
          </w:p>
        </w:tc>
        <w:tc>
          <w:tcPr>
            <w:tcW w:w="2336" w:type="dxa"/>
            <w:tcBorders>
              <w:top w:val="nil"/>
              <w:left w:val="nil"/>
              <w:bottom w:val="nil"/>
              <w:right w:val="nil"/>
            </w:tcBorders>
          </w:tcPr>
          <w:p w14:paraId="3B83ED28" w14:textId="77777777" w:rsidR="00D34A51" w:rsidRPr="0059396B" w:rsidRDefault="00D34A51" w:rsidP="00E621BB">
            <w:pPr>
              <w:jc w:val="both"/>
              <w:rPr>
                <w:rFonts w:eastAsia="Calibri"/>
                <w:b/>
                <w:bCs/>
              </w:rPr>
            </w:pPr>
            <w:r w:rsidRPr="0059396B">
              <w:rPr>
                <w:rFonts w:eastAsia="Calibri"/>
              </w:rPr>
              <w:t>6.23</w:t>
            </w:r>
          </w:p>
        </w:tc>
        <w:tc>
          <w:tcPr>
            <w:tcW w:w="2025" w:type="dxa"/>
            <w:tcBorders>
              <w:top w:val="nil"/>
              <w:left w:val="nil"/>
              <w:bottom w:val="nil"/>
              <w:right w:val="nil"/>
            </w:tcBorders>
          </w:tcPr>
          <w:p w14:paraId="4F2DE1DC" w14:textId="77777777" w:rsidR="00D34A51" w:rsidRPr="0059396B" w:rsidRDefault="00D34A51" w:rsidP="00E621BB">
            <w:pPr>
              <w:jc w:val="both"/>
              <w:rPr>
                <w:rFonts w:eastAsia="Calibri"/>
              </w:rPr>
            </w:pPr>
            <w:r w:rsidRPr="0059396B">
              <w:rPr>
                <w:rFonts w:eastAsia="Calibri"/>
              </w:rPr>
              <w:t>30</w:t>
            </w:r>
          </w:p>
        </w:tc>
      </w:tr>
      <w:tr w:rsidR="00D34A51" w:rsidRPr="0059396B" w14:paraId="5000760D" w14:textId="77777777" w:rsidTr="00E621BB">
        <w:tc>
          <w:tcPr>
            <w:tcW w:w="2497" w:type="dxa"/>
            <w:tcBorders>
              <w:top w:val="nil"/>
              <w:left w:val="nil"/>
              <w:bottom w:val="nil"/>
              <w:right w:val="nil"/>
            </w:tcBorders>
          </w:tcPr>
          <w:p w14:paraId="320B9419" w14:textId="77777777" w:rsidR="00D34A51" w:rsidRPr="0059396B" w:rsidRDefault="00D34A51" w:rsidP="00E621BB">
            <w:pPr>
              <w:jc w:val="both"/>
              <w:rPr>
                <w:rFonts w:eastAsia="Calibri"/>
                <w:b/>
                <w:bCs/>
              </w:rPr>
            </w:pPr>
            <w:r w:rsidRPr="0059396B">
              <w:rPr>
                <w:rFonts w:eastAsia="Calibri"/>
              </w:rPr>
              <w:t>Anxiety subscale</w:t>
            </w:r>
          </w:p>
        </w:tc>
        <w:tc>
          <w:tcPr>
            <w:tcW w:w="2214" w:type="dxa"/>
            <w:tcBorders>
              <w:top w:val="nil"/>
              <w:left w:val="nil"/>
              <w:bottom w:val="nil"/>
              <w:right w:val="nil"/>
            </w:tcBorders>
          </w:tcPr>
          <w:p w14:paraId="013D507D" w14:textId="77777777" w:rsidR="00D34A51" w:rsidRPr="0059396B" w:rsidRDefault="00D34A51" w:rsidP="00E621BB">
            <w:pPr>
              <w:jc w:val="both"/>
              <w:rPr>
                <w:rFonts w:eastAsia="Calibri"/>
                <w:b/>
                <w:bCs/>
              </w:rPr>
            </w:pPr>
            <w:r w:rsidRPr="0059396B">
              <w:rPr>
                <w:rFonts w:eastAsia="Calibri"/>
              </w:rPr>
              <w:t>2.97</w:t>
            </w:r>
          </w:p>
        </w:tc>
        <w:tc>
          <w:tcPr>
            <w:tcW w:w="2336" w:type="dxa"/>
            <w:tcBorders>
              <w:top w:val="nil"/>
              <w:left w:val="nil"/>
              <w:bottom w:val="nil"/>
              <w:right w:val="nil"/>
            </w:tcBorders>
          </w:tcPr>
          <w:p w14:paraId="284570E0" w14:textId="77777777" w:rsidR="00D34A51" w:rsidRPr="0059396B" w:rsidRDefault="00D34A51" w:rsidP="00E621BB">
            <w:pPr>
              <w:jc w:val="both"/>
              <w:rPr>
                <w:rFonts w:eastAsia="Calibri"/>
                <w:b/>
                <w:bCs/>
              </w:rPr>
            </w:pPr>
            <w:r w:rsidRPr="0059396B">
              <w:rPr>
                <w:rFonts w:eastAsia="Calibri"/>
              </w:rPr>
              <w:t>3.58</w:t>
            </w:r>
          </w:p>
        </w:tc>
        <w:tc>
          <w:tcPr>
            <w:tcW w:w="2025" w:type="dxa"/>
            <w:tcBorders>
              <w:top w:val="nil"/>
              <w:left w:val="nil"/>
              <w:bottom w:val="nil"/>
              <w:right w:val="nil"/>
            </w:tcBorders>
          </w:tcPr>
          <w:p w14:paraId="0B081453" w14:textId="77777777" w:rsidR="00D34A51" w:rsidRPr="0059396B" w:rsidRDefault="00D34A51" w:rsidP="00E621BB">
            <w:pPr>
              <w:jc w:val="both"/>
              <w:rPr>
                <w:rFonts w:eastAsia="Calibri"/>
              </w:rPr>
            </w:pPr>
            <w:r w:rsidRPr="0059396B">
              <w:rPr>
                <w:rFonts w:eastAsia="Calibri"/>
              </w:rPr>
              <w:t>30</w:t>
            </w:r>
          </w:p>
        </w:tc>
      </w:tr>
      <w:tr w:rsidR="00D34A51" w:rsidRPr="0059396B" w14:paraId="3CCF98A6" w14:textId="77777777" w:rsidTr="00E621BB">
        <w:tc>
          <w:tcPr>
            <w:tcW w:w="2497" w:type="dxa"/>
            <w:tcBorders>
              <w:top w:val="nil"/>
              <w:left w:val="nil"/>
              <w:bottom w:val="nil"/>
              <w:right w:val="nil"/>
            </w:tcBorders>
          </w:tcPr>
          <w:p w14:paraId="3CBDB444" w14:textId="77777777" w:rsidR="00D34A51" w:rsidRPr="0059396B" w:rsidRDefault="00D34A51" w:rsidP="00E621BB">
            <w:pPr>
              <w:jc w:val="both"/>
              <w:rPr>
                <w:rFonts w:eastAsia="Calibri"/>
                <w:b/>
                <w:bCs/>
              </w:rPr>
            </w:pPr>
            <w:r w:rsidRPr="0059396B">
              <w:rPr>
                <w:rFonts w:eastAsia="Calibri"/>
              </w:rPr>
              <w:t>Stress subscale</w:t>
            </w:r>
          </w:p>
        </w:tc>
        <w:tc>
          <w:tcPr>
            <w:tcW w:w="2214" w:type="dxa"/>
            <w:tcBorders>
              <w:top w:val="nil"/>
              <w:left w:val="nil"/>
              <w:bottom w:val="nil"/>
              <w:right w:val="nil"/>
            </w:tcBorders>
          </w:tcPr>
          <w:p w14:paraId="54B96746" w14:textId="77777777" w:rsidR="00D34A51" w:rsidRPr="0059396B" w:rsidRDefault="00D34A51" w:rsidP="00E621BB">
            <w:pPr>
              <w:jc w:val="both"/>
              <w:rPr>
                <w:rFonts w:eastAsia="Calibri"/>
                <w:b/>
                <w:bCs/>
              </w:rPr>
            </w:pPr>
            <w:r w:rsidRPr="0059396B">
              <w:rPr>
                <w:rFonts w:eastAsia="Calibri"/>
              </w:rPr>
              <w:t>7.43</w:t>
            </w:r>
          </w:p>
        </w:tc>
        <w:tc>
          <w:tcPr>
            <w:tcW w:w="2336" w:type="dxa"/>
            <w:tcBorders>
              <w:top w:val="nil"/>
              <w:left w:val="nil"/>
              <w:bottom w:val="nil"/>
              <w:right w:val="nil"/>
            </w:tcBorders>
          </w:tcPr>
          <w:p w14:paraId="67BBC8B6" w14:textId="77777777" w:rsidR="00D34A51" w:rsidRPr="0059396B" w:rsidRDefault="00D34A51" w:rsidP="00E621BB">
            <w:pPr>
              <w:jc w:val="both"/>
              <w:rPr>
                <w:rFonts w:eastAsia="Calibri"/>
                <w:b/>
                <w:bCs/>
              </w:rPr>
            </w:pPr>
            <w:r w:rsidRPr="0059396B">
              <w:rPr>
                <w:rFonts w:eastAsia="Calibri"/>
              </w:rPr>
              <w:t>5.38</w:t>
            </w:r>
          </w:p>
        </w:tc>
        <w:tc>
          <w:tcPr>
            <w:tcW w:w="2025" w:type="dxa"/>
            <w:tcBorders>
              <w:top w:val="nil"/>
              <w:left w:val="nil"/>
              <w:bottom w:val="nil"/>
              <w:right w:val="nil"/>
            </w:tcBorders>
          </w:tcPr>
          <w:p w14:paraId="2A0FD79E" w14:textId="77777777" w:rsidR="00D34A51" w:rsidRPr="0059396B" w:rsidRDefault="00D34A51" w:rsidP="00E621BB">
            <w:pPr>
              <w:jc w:val="both"/>
              <w:rPr>
                <w:rFonts w:eastAsia="Calibri"/>
              </w:rPr>
            </w:pPr>
            <w:r w:rsidRPr="0059396B">
              <w:rPr>
                <w:rFonts w:eastAsia="Calibri"/>
              </w:rPr>
              <w:t>30</w:t>
            </w:r>
          </w:p>
        </w:tc>
      </w:tr>
      <w:tr w:rsidR="00D34A51" w:rsidRPr="0059396B" w14:paraId="3783D79F" w14:textId="77777777" w:rsidTr="00E621BB">
        <w:tc>
          <w:tcPr>
            <w:tcW w:w="2497" w:type="dxa"/>
            <w:tcBorders>
              <w:top w:val="nil"/>
              <w:left w:val="nil"/>
              <w:bottom w:val="nil"/>
              <w:right w:val="nil"/>
            </w:tcBorders>
          </w:tcPr>
          <w:p w14:paraId="031FE064" w14:textId="77777777" w:rsidR="00D34A51" w:rsidRPr="0059396B" w:rsidRDefault="00D34A51" w:rsidP="00E621BB">
            <w:pPr>
              <w:jc w:val="both"/>
              <w:rPr>
                <w:rFonts w:eastAsia="Calibri"/>
                <w:b/>
                <w:bCs/>
              </w:rPr>
            </w:pPr>
            <w:r w:rsidRPr="0059396B">
              <w:rPr>
                <w:rFonts w:eastAsia="Calibri"/>
              </w:rPr>
              <w:t>ASI</w:t>
            </w:r>
          </w:p>
        </w:tc>
        <w:tc>
          <w:tcPr>
            <w:tcW w:w="2214" w:type="dxa"/>
            <w:tcBorders>
              <w:top w:val="nil"/>
              <w:left w:val="nil"/>
              <w:bottom w:val="nil"/>
              <w:right w:val="nil"/>
            </w:tcBorders>
          </w:tcPr>
          <w:p w14:paraId="78F005C3" w14:textId="77777777" w:rsidR="00D34A51" w:rsidRPr="0059396B" w:rsidRDefault="00D34A51" w:rsidP="00E621BB">
            <w:pPr>
              <w:jc w:val="both"/>
              <w:rPr>
                <w:rFonts w:eastAsia="Calibri"/>
                <w:b/>
                <w:bCs/>
              </w:rPr>
            </w:pPr>
            <w:r w:rsidRPr="0059396B">
              <w:rPr>
                <w:rFonts w:eastAsia="Calibri"/>
              </w:rPr>
              <w:t>14.97</w:t>
            </w:r>
          </w:p>
        </w:tc>
        <w:tc>
          <w:tcPr>
            <w:tcW w:w="2336" w:type="dxa"/>
            <w:tcBorders>
              <w:top w:val="nil"/>
              <w:left w:val="nil"/>
              <w:bottom w:val="nil"/>
              <w:right w:val="nil"/>
            </w:tcBorders>
          </w:tcPr>
          <w:p w14:paraId="2B19F4D7" w14:textId="77777777" w:rsidR="00D34A51" w:rsidRPr="0059396B" w:rsidRDefault="00D34A51" w:rsidP="00E621BB">
            <w:pPr>
              <w:jc w:val="both"/>
              <w:rPr>
                <w:rFonts w:eastAsia="Calibri"/>
                <w:b/>
                <w:bCs/>
              </w:rPr>
            </w:pPr>
            <w:r w:rsidRPr="0059396B">
              <w:rPr>
                <w:rFonts w:eastAsia="Calibri"/>
              </w:rPr>
              <w:t>8.16</w:t>
            </w:r>
          </w:p>
        </w:tc>
        <w:tc>
          <w:tcPr>
            <w:tcW w:w="2025" w:type="dxa"/>
            <w:tcBorders>
              <w:top w:val="nil"/>
              <w:left w:val="nil"/>
              <w:bottom w:val="nil"/>
              <w:right w:val="nil"/>
            </w:tcBorders>
          </w:tcPr>
          <w:p w14:paraId="1DD2B559" w14:textId="77777777" w:rsidR="00D34A51" w:rsidRPr="0059396B" w:rsidRDefault="00D34A51" w:rsidP="00E621BB">
            <w:pPr>
              <w:jc w:val="both"/>
              <w:rPr>
                <w:rFonts w:eastAsia="Calibri"/>
              </w:rPr>
            </w:pPr>
            <w:r w:rsidRPr="0059396B">
              <w:rPr>
                <w:rFonts w:eastAsia="Calibri"/>
              </w:rPr>
              <w:t>30</w:t>
            </w:r>
          </w:p>
        </w:tc>
      </w:tr>
      <w:tr w:rsidR="00D34A51" w:rsidRPr="0059396B" w14:paraId="4F4F6BCB" w14:textId="77777777" w:rsidTr="00E621BB">
        <w:tc>
          <w:tcPr>
            <w:tcW w:w="2497" w:type="dxa"/>
            <w:tcBorders>
              <w:top w:val="nil"/>
              <w:left w:val="nil"/>
              <w:bottom w:val="nil"/>
              <w:right w:val="nil"/>
            </w:tcBorders>
          </w:tcPr>
          <w:p w14:paraId="57F3C2C1" w14:textId="77777777" w:rsidR="00D34A51" w:rsidRPr="0059396B" w:rsidRDefault="00D34A51" w:rsidP="00E621BB">
            <w:pPr>
              <w:jc w:val="both"/>
              <w:rPr>
                <w:rFonts w:eastAsia="Calibri"/>
                <w:b/>
                <w:bCs/>
              </w:rPr>
            </w:pPr>
            <w:r w:rsidRPr="0059396B">
              <w:rPr>
                <w:rFonts w:eastAsia="Calibri"/>
              </w:rPr>
              <w:t>Physical subscale</w:t>
            </w:r>
          </w:p>
        </w:tc>
        <w:tc>
          <w:tcPr>
            <w:tcW w:w="2214" w:type="dxa"/>
            <w:tcBorders>
              <w:top w:val="nil"/>
              <w:left w:val="nil"/>
              <w:bottom w:val="nil"/>
              <w:right w:val="nil"/>
            </w:tcBorders>
          </w:tcPr>
          <w:p w14:paraId="3D8357B4" w14:textId="77777777" w:rsidR="00D34A51" w:rsidRPr="0059396B" w:rsidRDefault="00D34A51" w:rsidP="00E621BB">
            <w:pPr>
              <w:jc w:val="both"/>
              <w:rPr>
                <w:rFonts w:eastAsia="Calibri"/>
                <w:b/>
                <w:bCs/>
              </w:rPr>
            </w:pPr>
            <w:r w:rsidRPr="0059396B">
              <w:rPr>
                <w:rFonts w:eastAsia="Calibri"/>
              </w:rPr>
              <w:t>4.10</w:t>
            </w:r>
          </w:p>
        </w:tc>
        <w:tc>
          <w:tcPr>
            <w:tcW w:w="2336" w:type="dxa"/>
            <w:tcBorders>
              <w:top w:val="nil"/>
              <w:left w:val="nil"/>
              <w:bottom w:val="nil"/>
              <w:right w:val="nil"/>
            </w:tcBorders>
          </w:tcPr>
          <w:p w14:paraId="72C87C50" w14:textId="77777777" w:rsidR="00D34A51" w:rsidRPr="0059396B" w:rsidRDefault="00D34A51" w:rsidP="00E621BB">
            <w:pPr>
              <w:jc w:val="both"/>
              <w:rPr>
                <w:rFonts w:eastAsia="Calibri"/>
                <w:b/>
                <w:bCs/>
              </w:rPr>
            </w:pPr>
            <w:r w:rsidRPr="0059396B">
              <w:rPr>
                <w:rFonts w:eastAsia="Calibri"/>
              </w:rPr>
              <w:t>3.40</w:t>
            </w:r>
          </w:p>
        </w:tc>
        <w:tc>
          <w:tcPr>
            <w:tcW w:w="2025" w:type="dxa"/>
            <w:tcBorders>
              <w:top w:val="nil"/>
              <w:left w:val="nil"/>
              <w:bottom w:val="nil"/>
              <w:right w:val="nil"/>
            </w:tcBorders>
          </w:tcPr>
          <w:p w14:paraId="105606CC" w14:textId="77777777" w:rsidR="00D34A51" w:rsidRPr="0059396B" w:rsidRDefault="00D34A51" w:rsidP="00E621BB">
            <w:pPr>
              <w:jc w:val="both"/>
              <w:rPr>
                <w:rFonts w:eastAsia="Calibri"/>
              </w:rPr>
            </w:pPr>
            <w:r w:rsidRPr="0059396B">
              <w:rPr>
                <w:rFonts w:eastAsia="Calibri"/>
              </w:rPr>
              <w:t>30</w:t>
            </w:r>
          </w:p>
        </w:tc>
      </w:tr>
      <w:tr w:rsidR="00D34A51" w:rsidRPr="0059396B" w14:paraId="5F34F09A" w14:textId="77777777" w:rsidTr="00E621BB">
        <w:tc>
          <w:tcPr>
            <w:tcW w:w="2497" w:type="dxa"/>
            <w:tcBorders>
              <w:top w:val="nil"/>
              <w:left w:val="nil"/>
              <w:bottom w:val="nil"/>
              <w:right w:val="nil"/>
            </w:tcBorders>
          </w:tcPr>
          <w:p w14:paraId="34E7209D" w14:textId="77777777" w:rsidR="00D34A51" w:rsidRPr="0059396B" w:rsidRDefault="00D34A51" w:rsidP="00E621BB">
            <w:pPr>
              <w:jc w:val="both"/>
              <w:rPr>
                <w:rFonts w:eastAsia="Calibri"/>
                <w:b/>
                <w:bCs/>
              </w:rPr>
            </w:pPr>
            <w:r w:rsidRPr="0059396B">
              <w:rPr>
                <w:rFonts w:eastAsia="Calibri"/>
              </w:rPr>
              <w:t>Cognitive subscale</w:t>
            </w:r>
          </w:p>
        </w:tc>
        <w:tc>
          <w:tcPr>
            <w:tcW w:w="2214" w:type="dxa"/>
            <w:tcBorders>
              <w:top w:val="nil"/>
              <w:left w:val="nil"/>
              <w:bottom w:val="nil"/>
              <w:right w:val="nil"/>
            </w:tcBorders>
          </w:tcPr>
          <w:p w14:paraId="21DB0705" w14:textId="77777777" w:rsidR="00D34A51" w:rsidRPr="0059396B" w:rsidRDefault="00D34A51" w:rsidP="00E621BB">
            <w:pPr>
              <w:jc w:val="both"/>
              <w:rPr>
                <w:rFonts w:eastAsia="Calibri"/>
                <w:b/>
                <w:bCs/>
              </w:rPr>
            </w:pPr>
            <w:r w:rsidRPr="0059396B">
              <w:rPr>
                <w:rFonts w:eastAsia="Calibri"/>
              </w:rPr>
              <w:t>3.23</w:t>
            </w:r>
          </w:p>
        </w:tc>
        <w:tc>
          <w:tcPr>
            <w:tcW w:w="2336" w:type="dxa"/>
            <w:tcBorders>
              <w:top w:val="nil"/>
              <w:left w:val="nil"/>
              <w:bottom w:val="nil"/>
              <w:right w:val="nil"/>
            </w:tcBorders>
          </w:tcPr>
          <w:p w14:paraId="6AA91871" w14:textId="77777777" w:rsidR="00D34A51" w:rsidRPr="0059396B" w:rsidRDefault="00D34A51" w:rsidP="00E621BB">
            <w:pPr>
              <w:jc w:val="both"/>
              <w:rPr>
                <w:rFonts w:eastAsia="Calibri"/>
                <w:b/>
                <w:bCs/>
              </w:rPr>
            </w:pPr>
            <w:r w:rsidRPr="0059396B">
              <w:rPr>
                <w:rFonts w:eastAsia="Calibri"/>
              </w:rPr>
              <w:t>3.45</w:t>
            </w:r>
          </w:p>
        </w:tc>
        <w:tc>
          <w:tcPr>
            <w:tcW w:w="2025" w:type="dxa"/>
            <w:tcBorders>
              <w:top w:val="nil"/>
              <w:left w:val="nil"/>
              <w:bottom w:val="nil"/>
              <w:right w:val="nil"/>
            </w:tcBorders>
          </w:tcPr>
          <w:p w14:paraId="741B87C8" w14:textId="77777777" w:rsidR="00D34A51" w:rsidRPr="0059396B" w:rsidRDefault="00D34A51" w:rsidP="00E621BB">
            <w:pPr>
              <w:jc w:val="both"/>
              <w:rPr>
                <w:rFonts w:eastAsia="Calibri"/>
              </w:rPr>
            </w:pPr>
            <w:r w:rsidRPr="0059396B">
              <w:rPr>
                <w:rFonts w:eastAsia="Calibri"/>
              </w:rPr>
              <w:t>30</w:t>
            </w:r>
          </w:p>
        </w:tc>
      </w:tr>
      <w:tr w:rsidR="00D34A51" w:rsidRPr="0059396B" w14:paraId="4A669B75" w14:textId="77777777" w:rsidTr="00E621BB">
        <w:tc>
          <w:tcPr>
            <w:tcW w:w="2497" w:type="dxa"/>
            <w:tcBorders>
              <w:top w:val="nil"/>
              <w:left w:val="nil"/>
              <w:bottom w:val="nil"/>
              <w:right w:val="nil"/>
            </w:tcBorders>
          </w:tcPr>
          <w:p w14:paraId="0CFF21FC" w14:textId="77777777" w:rsidR="00D34A51" w:rsidRPr="0059396B" w:rsidRDefault="00D34A51" w:rsidP="00E621BB">
            <w:pPr>
              <w:jc w:val="both"/>
              <w:rPr>
                <w:rFonts w:eastAsia="Calibri"/>
                <w:b/>
                <w:bCs/>
              </w:rPr>
            </w:pPr>
            <w:r w:rsidRPr="0059396B">
              <w:rPr>
                <w:rFonts w:eastAsia="Calibri"/>
              </w:rPr>
              <w:t>Social subscale</w:t>
            </w:r>
          </w:p>
        </w:tc>
        <w:tc>
          <w:tcPr>
            <w:tcW w:w="2214" w:type="dxa"/>
            <w:tcBorders>
              <w:top w:val="nil"/>
              <w:left w:val="nil"/>
              <w:bottom w:val="nil"/>
              <w:right w:val="nil"/>
            </w:tcBorders>
          </w:tcPr>
          <w:p w14:paraId="32C77273" w14:textId="77777777" w:rsidR="00D34A51" w:rsidRPr="0059396B" w:rsidRDefault="00D34A51" w:rsidP="00E621BB">
            <w:pPr>
              <w:jc w:val="both"/>
              <w:rPr>
                <w:rFonts w:eastAsia="Calibri"/>
                <w:b/>
                <w:bCs/>
              </w:rPr>
            </w:pPr>
            <w:r w:rsidRPr="0059396B">
              <w:rPr>
                <w:rFonts w:eastAsia="Calibri"/>
              </w:rPr>
              <w:t>7.63</w:t>
            </w:r>
          </w:p>
        </w:tc>
        <w:tc>
          <w:tcPr>
            <w:tcW w:w="2336" w:type="dxa"/>
            <w:tcBorders>
              <w:top w:val="nil"/>
              <w:left w:val="nil"/>
              <w:bottom w:val="nil"/>
              <w:right w:val="nil"/>
            </w:tcBorders>
          </w:tcPr>
          <w:p w14:paraId="287E7E92" w14:textId="77777777" w:rsidR="00D34A51" w:rsidRPr="0059396B" w:rsidRDefault="00D34A51" w:rsidP="00E621BB">
            <w:pPr>
              <w:jc w:val="both"/>
              <w:rPr>
                <w:rFonts w:eastAsia="Calibri"/>
                <w:b/>
                <w:bCs/>
              </w:rPr>
            </w:pPr>
            <w:r w:rsidRPr="0059396B">
              <w:rPr>
                <w:rFonts w:eastAsia="Calibri"/>
              </w:rPr>
              <w:t>4.07</w:t>
            </w:r>
          </w:p>
        </w:tc>
        <w:tc>
          <w:tcPr>
            <w:tcW w:w="2025" w:type="dxa"/>
            <w:tcBorders>
              <w:top w:val="nil"/>
              <w:left w:val="nil"/>
              <w:bottom w:val="nil"/>
              <w:right w:val="nil"/>
            </w:tcBorders>
          </w:tcPr>
          <w:p w14:paraId="17CA63E2" w14:textId="77777777" w:rsidR="00D34A51" w:rsidRPr="0059396B" w:rsidRDefault="00D34A51" w:rsidP="00E621BB">
            <w:pPr>
              <w:jc w:val="both"/>
              <w:rPr>
                <w:rFonts w:eastAsia="Calibri"/>
              </w:rPr>
            </w:pPr>
            <w:r w:rsidRPr="0059396B">
              <w:rPr>
                <w:rFonts w:eastAsia="Calibri"/>
              </w:rPr>
              <w:t>30</w:t>
            </w:r>
          </w:p>
        </w:tc>
      </w:tr>
      <w:tr w:rsidR="00D34A51" w:rsidRPr="0059396B" w14:paraId="37D6F272" w14:textId="77777777" w:rsidTr="00E621BB">
        <w:tc>
          <w:tcPr>
            <w:tcW w:w="2497" w:type="dxa"/>
            <w:tcBorders>
              <w:top w:val="nil"/>
              <w:left w:val="nil"/>
              <w:bottom w:val="nil"/>
              <w:right w:val="nil"/>
            </w:tcBorders>
          </w:tcPr>
          <w:p w14:paraId="5D66C6D9" w14:textId="77777777" w:rsidR="00D34A51" w:rsidRPr="0059396B" w:rsidRDefault="00D34A51" w:rsidP="00E621BB">
            <w:pPr>
              <w:jc w:val="both"/>
              <w:rPr>
                <w:rFonts w:eastAsia="Calibri"/>
                <w:b/>
                <w:bCs/>
              </w:rPr>
            </w:pPr>
            <w:r w:rsidRPr="0059396B">
              <w:rPr>
                <w:rFonts w:eastAsia="Calibri"/>
              </w:rPr>
              <w:t>LOTR</w:t>
            </w:r>
          </w:p>
        </w:tc>
        <w:tc>
          <w:tcPr>
            <w:tcW w:w="2214" w:type="dxa"/>
            <w:tcBorders>
              <w:top w:val="nil"/>
              <w:left w:val="nil"/>
              <w:bottom w:val="nil"/>
              <w:right w:val="nil"/>
            </w:tcBorders>
          </w:tcPr>
          <w:p w14:paraId="4AE74986" w14:textId="77777777" w:rsidR="00D34A51" w:rsidRPr="0059396B" w:rsidRDefault="00D34A51" w:rsidP="00E621BB">
            <w:pPr>
              <w:jc w:val="both"/>
              <w:rPr>
                <w:rFonts w:eastAsia="Calibri"/>
                <w:b/>
                <w:bCs/>
              </w:rPr>
            </w:pPr>
          </w:p>
        </w:tc>
        <w:tc>
          <w:tcPr>
            <w:tcW w:w="2336" w:type="dxa"/>
            <w:tcBorders>
              <w:top w:val="nil"/>
              <w:left w:val="nil"/>
              <w:bottom w:val="nil"/>
              <w:right w:val="nil"/>
            </w:tcBorders>
          </w:tcPr>
          <w:p w14:paraId="25FC7997" w14:textId="77777777" w:rsidR="00D34A51" w:rsidRPr="0059396B" w:rsidRDefault="00D34A51" w:rsidP="00E621BB">
            <w:pPr>
              <w:jc w:val="both"/>
              <w:rPr>
                <w:rFonts w:eastAsia="Calibri"/>
                <w:b/>
                <w:bCs/>
              </w:rPr>
            </w:pPr>
          </w:p>
        </w:tc>
        <w:tc>
          <w:tcPr>
            <w:tcW w:w="2025" w:type="dxa"/>
            <w:tcBorders>
              <w:top w:val="nil"/>
              <w:left w:val="nil"/>
              <w:bottom w:val="nil"/>
              <w:right w:val="nil"/>
            </w:tcBorders>
          </w:tcPr>
          <w:p w14:paraId="61D15C83" w14:textId="77777777" w:rsidR="00D34A51" w:rsidRPr="0059396B" w:rsidRDefault="00D34A51" w:rsidP="00E621BB">
            <w:pPr>
              <w:jc w:val="both"/>
              <w:rPr>
                <w:rFonts w:eastAsia="Calibri"/>
                <w:b/>
                <w:bCs/>
              </w:rPr>
            </w:pPr>
          </w:p>
        </w:tc>
      </w:tr>
      <w:tr w:rsidR="00D34A51" w:rsidRPr="0059396B" w14:paraId="2EC448F6" w14:textId="77777777" w:rsidTr="00E621BB">
        <w:tc>
          <w:tcPr>
            <w:tcW w:w="2497" w:type="dxa"/>
            <w:tcBorders>
              <w:top w:val="nil"/>
              <w:left w:val="nil"/>
              <w:bottom w:val="nil"/>
              <w:right w:val="nil"/>
            </w:tcBorders>
          </w:tcPr>
          <w:p w14:paraId="4C1FC59F" w14:textId="77777777" w:rsidR="00D34A51" w:rsidRPr="0059396B" w:rsidRDefault="00D34A51" w:rsidP="00E621BB">
            <w:pPr>
              <w:jc w:val="both"/>
              <w:rPr>
                <w:rFonts w:eastAsia="Calibri"/>
                <w:b/>
                <w:bCs/>
              </w:rPr>
            </w:pPr>
            <w:r w:rsidRPr="0059396B">
              <w:rPr>
                <w:rFonts w:eastAsia="Calibri"/>
              </w:rPr>
              <w:t>Optimism subscale</w:t>
            </w:r>
          </w:p>
        </w:tc>
        <w:tc>
          <w:tcPr>
            <w:tcW w:w="2214" w:type="dxa"/>
            <w:tcBorders>
              <w:top w:val="nil"/>
              <w:left w:val="nil"/>
              <w:bottom w:val="nil"/>
              <w:right w:val="nil"/>
            </w:tcBorders>
          </w:tcPr>
          <w:p w14:paraId="79ED462A" w14:textId="77777777" w:rsidR="00D34A51" w:rsidRPr="0059396B" w:rsidRDefault="00D34A51" w:rsidP="00E621BB">
            <w:pPr>
              <w:jc w:val="both"/>
              <w:rPr>
                <w:rFonts w:eastAsia="Calibri"/>
                <w:b/>
                <w:bCs/>
              </w:rPr>
            </w:pPr>
            <w:r w:rsidRPr="0059396B">
              <w:rPr>
                <w:rFonts w:eastAsia="Calibri"/>
              </w:rPr>
              <w:t>7.10</w:t>
            </w:r>
          </w:p>
        </w:tc>
        <w:tc>
          <w:tcPr>
            <w:tcW w:w="2336" w:type="dxa"/>
            <w:tcBorders>
              <w:top w:val="nil"/>
              <w:left w:val="nil"/>
              <w:bottom w:val="nil"/>
              <w:right w:val="nil"/>
            </w:tcBorders>
          </w:tcPr>
          <w:p w14:paraId="1EA9BE8F" w14:textId="77777777" w:rsidR="00D34A51" w:rsidRPr="0059396B" w:rsidRDefault="00D34A51" w:rsidP="00E621BB">
            <w:pPr>
              <w:jc w:val="both"/>
              <w:rPr>
                <w:rFonts w:eastAsia="Calibri"/>
                <w:b/>
                <w:bCs/>
              </w:rPr>
            </w:pPr>
            <w:r w:rsidRPr="0059396B">
              <w:rPr>
                <w:rFonts w:eastAsia="Calibri"/>
              </w:rPr>
              <w:t>2.49</w:t>
            </w:r>
          </w:p>
        </w:tc>
        <w:tc>
          <w:tcPr>
            <w:tcW w:w="2025" w:type="dxa"/>
            <w:tcBorders>
              <w:top w:val="nil"/>
              <w:left w:val="nil"/>
              <w:bottom w:val="nil"/>
              <w:right w:val="nil"/>
            </w:tcBorders>
          </w:tcPr>
          <w:p w14:paraId="71002CD1" w14:textId="77777777" w:rsidR="00D34A51" w:rsidRPr="0059396B" w:rsidRDefault="00D34A51" w:rsidP="00E621BB">
            <w:pPr>
              <w:jc w:val="both"/>
              <w:rPr>
                <w:rFonts w:eastAsia="Calibri"/>
              </w:rPr>
            </w:pPr>
            <w:r w:rsidRPr="0059396B">
              <w:rPr>
                <w:rFonts w:eastAsia="Calibri"/>
              </w:rPr>
              <w:t>31</w:t>
            </w:r>
          </w:p>
        </w:tc>
      </w:tr>
      <w:tr w:rsidR="00D34A51" w:rsidRPr="0059396B" w14:paraId="57982BBF" w14:textId="77777777" w:rsidTr="00E621BB">
        <w:tc>
          <w:tcPr>
            <w:tcW w:w="2497" w:type="dxa"/>
            <w:tcBorders>
              <w:top w:val="nil"/>
              <w:left w:val="nil"/>
              <w:bottom w:val="nil"/>
              <w:right w:val="nil"/>
            </w:tcBorders>
          </w:tcPr>
          <w:p w14:paraId="3B2FC2BC" w14:textId="77777777" w:rsidR="00D34A51" w:rsidRPr="0059396B" w:rsidRDefault="00D34A51" w:rsidP="00E621BB">
            <w:pPr>
              <w:jc w:val="both"/>
              <w:rPr>
                <w:rFonts w:eastAsia="Calibri"/>
                <w:b/>
                <w:bCs/>
              </w:rPr>
            </w:pPr>
            <w:r w:rsidRPr="0059396B">
              <w:rPr>
                <w:rFonts w:eastAsia="Calibri"/>
              </w:rPr>
              <w:t>Pessimism subscale</w:t>
            </w:r>
          </w:p>
        </w:tc>
        <w:tc>
          <w:tcPr>
            <w:tcW w:w="2214" w:type="dxa"/>
            <w:tcBorders>
              <w:top w:val="nil"/>
              <w:left w:val="nil"/>
              <w:bottom w:val="nil"/>
              <w:right w:val="nil"/>
            </w:tcBorders>
          </w:tcPr>
          <w:p w14:paraId="324E7712" w14:textId="77777777" w:rsidR="00D34A51" w:rsidRPr="0059396B" w:rsidRDefault="00D34A51" w:rsidP="00E621BB">
            <w:pPr>
              <w:jc w:val="both"/>
              <w:rPr>
                <w:rFonts w:eastAsia="Calibri"/>
                <w:b/>
                <w:bCs/>
              </w:rPr>
            </w:pPr>
            <w:r w:rsidRPr="0059396B">
              <w:rPr>
                <w:rFonts w:eastAsia="Calibri"/>
              </w:rPr>
              <w:t>5.19</w:t>
            </w:r>
          </w:p>
        </w:tc>
        <w:tc>
          <w:tcPr>
            <w:tcW w:w="2336" w:type="dxa"/>
            <w:tcBorders>
              <w:top w:val="nil"/>
              <w:left w:val="nil"/>
              <w:bottom w:val="nil"/>
              <w:right w:val="nil"/>
            </w:tcBorders>
          </w:tcPr>
          <w:p w14:paraId="073AC00A" w14:textId="77777777" w:rsidR="00D34A51" w:rsidRPr="0059396B" w:rsidRDefault="00D34A51" w:rsidP="00E621BB">
            <w:pPr>
              <w:jc w:val="both"/>
              <w:rPr>
                <w:rFonts w:eastAsia="Calibri"/>
                <w:b/>
                <w:bCs/>
              </w:rPr>
            </w:pPr>
            <w:r w:rsidRPr="0059396B">
              <w:rPr>
                <w:rFonts w:eastAsia="Calibri"/>
              </w:rPr>
              <w:t>2.51</w:t>
            </w:r>
          </w:p>
        </w:tc>
        <w:tc>
          <w:tcPr>
            <w:tcW w:w="2025" w:type="dxa"/>
            <w:tcBorders>
              <w:top w:val="nil"/>
              <w:left w:val="nil"/>
              <w:bottom w:val="nil"/>
              <w:right w:val="nil"/>
            </w:tcBorders>
          </w:tcPr>
          <w:p w14:paraId="73E5F295" w14:textId="77777777" w:rsidR="00D34A51" w:rsidRPr="0059396B" w:rsidRDefault="00D34A51" w:rsidP="00E621BB">
            <w:pPr>
              <w:jc w:val="both"/>
              <w:rPr>
                <w:rFonts w:eastAsia="Calibri"/>
              </w:rPr>
            </w:pPr>
            <w:r w:rsidRPr="0059396B">
              <w:rPr>
                <w:rFonts w:eastAsia="Calibri"/>
              </w:rPr>
              <w:t>31</w:t>
            </w:r>
          </w:p>
        </w:tc>
      </w:tr>
      <w:tr w:rsidR="00D34A51" w:rsidRPr="0059396B" w14:paraId="196A1C45" w14:textId="77777777" w:rsidTr="00E621BB">
        <w:tc>
          <w:tcPr>
            <w:tcW w:w="2497" w:type="dxa"/>
            <w:tcBorders>
              <w:top w:val="nil"/>
              <w:left w:val="nil"/>
              <w:bottom w:val="nil"/>
              <w:right w:val="nil"/>
            </w:tcBorders>
          </w:tcPr>
          <w:p w14:paraId="03D334B4" w14:textId="77777777" w:rsidR="00D34A51" w:rsidRPr="0059396B" w:rsidRDefault="00D34A51" w:rsidP="00E621BB">
            <w:pPr>
              <w:jc w:val="both"/>
              <w:rPr>
                <w:rFonts w:eastAsia="Calibri"/>
                <w:b/>
                <w:bCs/>
              </w:rPr>
            </w:pPr>
            <w:r w:rsidRPr="0059396B">
              <w:rPr>
                <w:rFonts w:eastAsia="Calibri"/>
              </w:rPr>
              <w:t>BAS</w:t>
            </w:r>
          </w:p>
        </w:tc>
        <w:tc>
          <w:tcPr>
            <w:tcW w:w="2214" w:type="dxa"/>
            <w:tcBorders>
              <w:top w:val="nil"/>
              <w:left w:val="nil"/>
              <w:bottom w:val="nil"/>
              <w:right w:val="nil"/>
            </w:tcBorders>
          </w:tcPr>
          <w:p w14:paraId="58998999" w14:textId="77777777" w:rsidR="00D34A51" w:rsidRPr="0059396B" w:rsidRDefault="00D34A51" w:rsidP="00E621BB">
            <w:pPr>
              <w:jc w:val="both"/>
              <w:rPr>
                <w:rFonts w:eastAsia="Calibri"/>
                <w:b/>
                <w:bCs/>
              </w:rPr>
            </w:pPr>
          </w:p>
        </w:tc>
        <w:tc>
          <w:tcPr>
            <w:tcW w:w="2336" w:type="dxa"/>
            <w:tcBorders>
              <w:top w:val="nil"/>
              <w:left w:val="nil"/>
              <w:bottom w:val="nil"/>
              <w:right w:val="nil"/>
            </w:tcBorders>
          </w:tcPr>
          <w:p w14:paraId="154092DE" w14:textId="77777777" w:rsidR="00D34A51" w:rsidRPr="0059396B" w:rsidRDefault="00D34A51" w:rsidP="00E621BB">
            <w:pPr>
              <w:jc w:val="both"/>
              <w:rPr>
                <w:rFonts w:eastAsia="Calibri"/>
                <w:b/>
                <w:bCs/>
              </w:rPr>
            </w:pPr>
          </w:p>
        </w:tc>
        <w:tc>
          <w:tcPr>
            <w:tcW w:w="2025" w:type="dxa"/>
            <w:tcBorders>
              <w:top w:val="nil"/>
              <w:left w:val="nil"/>
              <w:bottom w:val="nil"/>
              <w:right w:val="nil"/>
            </w:tcBorders>
          </w:tcPr>
          <w:p w14:paraId="694F11C8" w14:textId="77777777" w:rsidR="00D34A51" w:rsidRPr="0059396B" w:rsidRDefault="00D34A51" w:rsidP="00E621BB">
            <w:pPr>
              <w:jc w:val="both"/>
              <w:rPr>
                <w:rFonts w:eastAsia="Calibri"/>
                <w:b/>
                <w:bCs/>
              </w:rPr>
            </w:pPr>
          </w:p>
        </w:tc>
      </w:tr>
      <w:tr w:rsidR="00D34A51" w:rsidRPr="0059396B" w14:paraId="3CD51DA7" w14:textId="77777777" w:rsidTr="00E621BB">
        <w:tc>
          <w:tcPr>
            <w:tcW w:w="2497" w:type="dxa"/>
            <w:tcBorders>
              <w:top w:val="nil"/>
              <w:left w:val="nil"/>
              <w:bottom w:val="nil"/>
              <w:right w:val="nil"/>
            </w:tcBorders>
          </w:tcPr>
          <w:p w14:paraId="16CB4B26" w14:textId="77777777" w:rsidR="00D34A51" w:rsidRPr="0059396B" w:rsidRDefault="00D34A51" w:rsidP="00E621BB">
            <w:pPr>
              <w:jc w:val="both"/>
              <w:rPr>
                <w:rFonts w:eastAsia="Calibri"/>
                <w:b/>
                <w:bCs/>
              </w:rPr>
            </w:pPr>
            <w:r w:rsidRPr="0059396B">
              <w:rPr>
                <w:rFonts w:eastAsia="Calibri"/>
              </w:rPr>
              <w:t>Drive subscale</w:t>
            </w:r>
          </w:p>
        </w:tc>
        <w:tc>
          <w:tcPr>
            <w:tcW w:w="2214" w:type="dxa"/>
            <w:tcBorders>
              <w:top w:val="nil"/>
              <w:left w:val="nil"/>
              <w:bottom w:val="nil"/>
              <w:right w:val="nil"/>
            </w:tcBorders>
          </w:tcPr>
          <w:p w14:paraId="100EC09B" w14:textId="77777777" w:rsidR="00D34A51" w:rsidRPr="0059396B" w:rsidRDefault="00D34A51" w:rsidP="00E621BB">
            <w:pPr>
              <w:jc w:val="both"/>
              <w:rPr>
                <w:rFonts w:eastAsia="Calibri"/>
                <w:b/>
                <w:bCs/>
              </w:rPr>
            </w:pPr>
            <w:r w:rsidRPr="0059396B">
              <w:rPr>
                <w:rFonts w:eastAsia="Calibri"/>
              </w:rPr>
              <w:t>11.45</w:t>
            </w:r>
          </w:p>
        </w:tc>
        <w:tc>
          <w:tcPr>
            <w:tcW w:w="2336" w:type="dxa"/>
            <w:tcBorders>
              <w:top w:val="nil"/>
              <w:left w:val="nil"/>
              <w:bottom w:val="nil"/>
              <w:right w:val="nil"/>
            </w:tcBorders>
          </w:tcPr>
          <w:p w14:paraId="20FFBEF2" w14:textId="77777777" w:rsidR="00D34A51" w:rsidRPr="0059396B" w:rsidRDefault="00D34A51" w:rsidP="00E621BB">
            <w:pPr>
              <w:jc w:val="both"/>
              <w:rPr>
                <w:rFonts w:eastAsia="Calibri"/>
                <w:b/>
                <w:bCs/>
              </w:rPr>
            </w:pPr>
            <w:r w:rsidRPr="0059396B">
              <w:rPr>
                <w:rFonts w:eastAsia="Calibri"/>
              </w:rPr>
              <w:t>2.03</w:t>
            </w:r>
          </w:p>
        </w:tc>
        <w:tc>
          <w:tcPr>
            <w:tcW w:w="2025" w:type="dxa"/>
            <w:tcBorders>
              <w:top w:val="nil"/>
              <w:left w:val="nil"/>
              <w:bottom w:val="nil"/>
              <w:right w:val="nil"/>
            </w:tcBorders>
          </w:tcPr>
          <w:p w14:paraId="0E4D0C14" w14:textId="77777777" w:rsidR="00D34A51" w:rsidRPr="0059396B" w:rsidRDefault="00D34A51" w:rsidP="00E621BB">
            <w:pPr>
              <w:jc w:val="both"/>
              <w:rPr>
                <w:rFonts w:eastAsia="Calibri"/>
              </w:rPr>
            </w:pPr>
            <w:r w:rsidRPr="0059396B">
              <w:rPr>
                <w:rFonts w:eastAsia="Calibri"/>
              </w:rPr>
              <w:t>31</w:t>
            </w:r>
          </w:p>
        </w:tc>
      </w:tr>
      <w:tr w:rsidR="00D34A51" w:rsidRPr="0059396B" w14:paraId="30102549" w14:textId="77777777" w:rsidTr="00E621BB">
        <w:tc>
          <w:tcPr>
            <w:tcW w:w="2497" w:type="dxa"/>
            <w:tcBorders>
              <w:top w:val="nil"/>
              <w:left w:val="nil"/>
              <w:bottom w:val="nil"/>
              <w:right w:val="nil"/>
            </w:tcBorders>
          </w:tcPr>
          <w:p w14:paraId="56DF66F5" w14:textId="77777777" w:rsidR="00D34A51" w:rsidRPr="0059396B" w:rsidRDefault="00D34A51" w:rsidP="00E621BB">
            <w:pPr>
              <w:jc w:val="both"/>
              <w:rPr>
                <w:rFonts w:eastAsia="Calibri"/>
                <w:b/>
                <w:bCs/>
              </w:rPr>
            </w:pPr>
            <w:r w:rsidRPr="0059396B">
              <w:rPr>
                <w:rFonts w:eastAsia="Calibri"/>
              </w:rPr>
              <w:t>Fun seeking subscale</w:t>
            </w:r>
          </w:p>
        </w:tc>
        <w:tc>
          <w:tcPr>
            <w:tcW w:w="2214" w:type="dxa"/>
            <w:tcBorders>
              <w:top w:val="nil"/>
              <w:left w:val="nil"/>
              <w:bottom w:val="nil"/>
              <w:right w:val="nil"/>
            </w:tcBorders>
          </w:tcPr>
          <w:p w14:paraId="537DB64B" w14:textId="77777777" w:rsidR="00D34A51" w:rsidRPr="0059396B" w:rsidRDefault="00D34A51" w:rsidP="00E621BB">
            <w:pPr>
              <w:jc w:val="both"/>
              <w:rPr>
                <w:rFonts w:eastAsia="Calibri"/>
                <w:b/>
                <w:bCs/>
              </w:rPr>
            </w:pPr>
            <w:r w:rsidRPr="0059396B">
              <w:rPr>
                <w:rFonts w:eastAsia="Calibri"/>
              </w:rPr>
              <w:t>12.03</w:t>
            </w:r>
          </w:p>
        </w:tc>
        <w:tc>
          <w:tcPr>
            <w:tcW w:w="2336" w:type="dxa"/>
            <w:tcBorders>
              <w:top w:val="nil"/>
              <w:left w:val="nil"/>
              <w:bottom w:val="nil"/>
              <w:right w:val="nil"/>
            </w:tcBorders>
          </w:tcPr>
          <w:p w14:paraId="18C74DAA" w14:textId="77777777" w:rsidR="00D34A51" w:rsidRPr="0059396B" w:rsidRDefault="00D34A51" w:rsidP="00E621BB">
            <w:pPr>
              <w:jc w:val="both"/>
              <w:rPr>
                <w:rFonts w:eastAsia="Calibri"/>
                <w:b/>
                <w:bCs/>
              </w:rPr>
            </w:pPr>
            <w:r w:rsidRPr="0059396B">
              <w:rPr>
                <w:rFonts w:eastAsia="Calibri"/>
              </w:rPr>
              <w:t>2.01</w:t>
            </w:r>
          </w:p>
        </w:tc>
        <w:tc>
          <w:tcPr>
            <w:tcW w:w="2025" w:type="dxa"/>
            <w:tcBorders>
              <w:top w:val="nil"/>
              <w:left w:val="nil"/>
              <w:bottom w:val="nil"/>
              <w:right w:val="nil"/>
            </w:tcBorders>
          </w:tcPr>
          <w:p w14:paraId="30FB343F" w14:textId="77777777" w:rsidR="00D34A51" w:rsidRPr="0059396B" w:rsidRDefault="00D34A51" w:rsidP="00E621BB">
            <w:pPr>
              <w:jc w:val="both"/>
              <w:rPr>
                <w:rFonts w:eastAsia="Calibri"/>
              </w:rPr>
            </w:pPr>
            <w:r w:rsidRPr="0059396B">
              <w:rPr>
                <w:rFonts w:eastAsia="Calibri"/>
              </w:rPr>
              <w:t>31</w:t>
            </w:r>
          </w:p>
        </w:tc>
      </w:tr>
      <w:tr w:rsidR="00D34A51" w:rsidRPr="0059396B" w14:paraId="07054AE2" w14:textId="77777777" w:rsidTr="00E621BB">
        <w:tc>
          <w:tcPr>
            <w:tcW w:w="2497" w:type="dxa"/>
            <w:tcBorders>
              <w:top w:val="nil"/>
              <w:left w:val="nil"/>
              <w:bottom w:val="nil"/>
              <w:right w:val="nil"/>
            </w:tcBorders>
          </w:tcPr>
          <w:p w14:paraId="76733789" w14:textId="77777777" w:rsidR="00D34A51" w:rsidRPr="0059396B" w:rsidRDefault="00D34A51" w:rsidP="00E621BB">
            <w:pPr>
              <w:rPr>
                <w:rFonts w:eastAsia="Calibri"/>
                <w:b/>
                <w:bCs/>
              </w:rPr>
            </w:pPr>
            <w:r w:rsidRPr="0059396B">
              <w:rPr>
                <w:rFonts w:eastAsia="Calibri"/>
              </w:rPr>
              <w:t>Reward responsiveness subscale</w:t>
            </w:r>
          </w:p>
        </w:tc>
        <w:tc>
          <w:tcPr>
            <w:tcW w:w="2214" w:type="dxa"/>
            <w:tcBorders>
              <w:top w:val="nil"/>
              <w:left w:val="nil"/>
              <w:bottom w:val="nil"/>
              <w:right w:val="nil"/>
            </w:tcBorders>
          </w:tcPr>
          <w:p w14:paraId="3D2670B1" w14:textId="77777777" w:rsidR="00D34A51" w:rsidRPr="0059396B" w:rsidRDefault="00D34A51" w:rsidP="00E621BB">
            <w:pPr>
              <w:jc w:val="both"/>
              <w:rPr>
                <w:rFonts w:eastAsia="Calibri"/>
                <w:b/>
                <w:bCs/>
              </w:rPr>
            </w:pPr>
            <w:r w:rsidRPr="0059396B">
              <w:rPr>
                <w:rFonts w:eastAsia="Calibri"/>
              </w:rPr>
              <w:t>17.26</w:t>
            </w:r>
          </w:p>
        </w:tc>
        <w:tc>
          <w:tcPr>
            <w:tcW w:w="2336" w:type="dxa"/>
            <w:tcBorders>
              <w:top w:val="nil"/>
              <w:left w:val="nil"/>
              <w:bottom w:val="nil"/>
              <w:right w:val="nil"/>
            </w:tcBorders>
          </w:tcPr>
          <w:p w14:paraId="06BDFBC3" w14:textId="77777777" w:rsidR="00D34A51" w:rsidRPr="0059396B" w:rsidRDefault="00D34A51" w:rsidP="00E621BB">
            <w:pPr>
              <w:jc w:val="both"/>
              <w:rPr>
                <w:rFonts w:eastAsia="Calibri"/>
                <w:b/>
                <w:bCs/>
              </w:rPr>
            </w:pPr>
            <w:r w:rsidRPr="0059396B">
              <w:rPr>
                <w:rFonts w:eastAsia="Calibri"/>
              </w:rPr>
              <w:t>1.95</w:t>
            </w:r>
          </w:p>
        </w:tc>
        <w:tc>
          <w:tcPr>
            <w:tcW w:w="2025" w:type="dxa"/>
            <w:tcBorders>
              <w:top w:val="nil"/>
              <w:left w:val="nil"/>
              <w:bottom w:val="nil"/>
              <w:right w:val="nil"/>
            </w:tcBorders>
          </w:tcPr>
          <w:p w14:paraId="417029ED" w14:textId="77777777" w:rsidR="00D34A51" w:rsidRPr="0059396B" w:rsidRDefault="00D34A51" w:rsidP="00E621BB">
            <w:pPr>
              <w:jc w:val="both"/>
              <w:rPr>
                <w:rFonts w:eastAsia="Calibri"/>
              </w:rPr>
            </w:pPr>
            <w:r w:rsidRPr="0059396B">
              <w:rPr>
                <w:rFonts w:eastAsia="Calibri"/>
              </w:rPr>
              <w:t>31</w:t>
            </w:r>
          </w:p>
        </w:tc>
      </w:tr>
      <w:tr w:rsidR="00D34A51" w:rsidRPr="0059396B" w14:paraId="12214B2B" w14:textId="77777777" w:rsidTr="00E621BB">
        <w:tc>
          <w:tcPr>
            <w:tcW w:w="2497" w:type="dxa"/>
            <w:tcBorders>
              <w:top w:val="nil"/>
              <w:left w:val="nil"/>
              <w:bottom w:val="nil"/>
              <w:right w:val="nil"/>
            </w:tcBorders>
          </w:tcPr>
          <w:p w14:paraId="71167526" w14:textId="77777777" w:rsidR="00D34A51" w:rsidRPr="0059396B" w:rsidRDefault="00D34A51" w:rsidP="00E621BB">
            <w:pPr>
              <w:jc w:val="both"/>
              <w:rPr>
                <w:rFonts w:eastAsia="Calibri"/>
                <w:b/>
                <w:bCs/>
              </w:rPr>
            </w:pPr>
            <w:r w:rsidRPr="0059396B">
              <w:rPr>
                <w:rFonts w:eastAsia="Calibri"/>
              </w:rPr>
              <w:t>BIS</w:t>
            </w:r>
          </w:p>
        </w:tc>
        <w:tc>
          <w:tcPr>
            <w:tcW w:w="2214" w:type="dxa"/>
            <w:tcBorders>
              <w:top w:val="nil"/>
              <w:left w:val="nil"/>
              <w:bottom w:val="nil"/>
              <w:right w:val="nil"/>
            </w:tcBorders>
          </w:tcPr>
          <w:p w14:paraId="059923BA" w14:textId="77777777" w:rsidR="00D34A51" w:rsidRPr="0059396B" w:rsidRDefault="00D34A51" w:rsidP="00E621BB">
            <w:pPr>
              <w:jc w:val="both"/>
              <w:rPr>
                <w:rFonts w:eastAsia="Calibri"/>
                <w:b/>
                <w:bCs/>
              </w:rPr>
            </w:pPr>
            <w:r w:rsidRPr="0059396B">
              <w:rPr>
                <w:rFonts w:eastAsia="Calibri"/>
              </w:rPr>
              <w:t>20.71</w:t>
            </w:r>
          </w:p>
        </w:tc>
        <w:tc>
          <w:tcPr>
            <w:tcW w:w="2336" w:type="dxa"/>
            <w:tcBorders>
              <w:top w:val="nil"/>
              <w:left w:val="nil"/>
              <w:bottom w:val="nil"/>
              <w:right w:val="nil"/>
            </w:tcBorders>
          </w:tcPr>
          <w:p w14:paraId="5EFC3FDB" w14:textId="77777777" w:rsidR="00D34A51" w:rsidRPr="0059396B" w:rsidRDefault="00D34A51" w:rsidP="00E621BB">
            <w:pPr>
              <w:jc w:val="both"/>
              <w:rPr>
                <w:rFonts w:eastAsia="Calibri"/>
                <w:b/>
                <w:bCs/>
              </w:rPr>
            </w:pPr>
            <w:r w:rsidRPr="0059396B">
              <w:rPr>
                <w:rFonts w:eastAsia="Calibri"/>
              </w:rPr>
              <w:t>3.73</w:t>
            </w:r>
          </w:p>
        </w:tc>
        <w:tc>
          <w:tcPr>
            <w:tcW w:w="2025" w:type="dxa"/>
            <w:tcBorders>
              <w:top w:val="nil"/>
              <w:left w:val="nil"/>
              <w:bottom w:val="nil"/>
              <w:right w:val="nil"/>
            </w:tcBorders>
          </w:tcPr>
          <w:p w14:paraId="0E2A919F" w14:textId="77777777" w:rsidR="00D34A51" w:rsidRPr="0059396B" w:rsidRDefault="00D34A51" w:rsidP="00E621BB">
            <w:pPr>
              <w:jc w:val="both"/>
              <w:rPr>
                <w:rFonts w:eastAsia="Calibri"/>
              </w:rPr>
            </w:pPr>
            <w:r w:rsidRPr="0059396B">
              <w:rPr>
                <w:rFonts w:eastAsia="Calibri"/>
              </w:rPr>
              <w:t>31</w:t>
            </w:r>
          </w:p>
        </w:tc>
      </w:tr>
      <w:tr w:rsidR="00D34A51" w:rsidRPr="0059396B" w14:paraId="112816ED" w14:textId="77777777" w:rsidTr="00E621BB">
        <w:tc>
          <w:tcPr>
            <w:tcW w:w="2497" w:type="dxa"/>
            <w:tcBorders>
              <w:top w:val="nil"/>
              <w:left w:val="nil"/>
              <w:bottom w:val="nil"/>
              <w:right w:val="nil"/>
            </w:tcBorders>
          </w:tcPr>
          <w:p w14:paraId="224D7243" w14:textId="77777777" w:rsidR="00D34A51" w:rsidRPr="0059396B" w:rsidRDefault="00D34A51" w:rsidP="00E621BB">
            <w:pPr>
              <w:jc w:val="both"/>
              <w:rPr>
                <w:rFonts w:eastAsia="Calibri"/>
                <w:b/>
                <w:bCs/>
              </w:rPr>
            </w:pPr>
            <w:r w:rsidRPr="0059396B">
              <w:rPr>
                <w:rFonts w:eastAsia="Calibri"/>
              </w:rPr>
              <w:t>PANAS</w:t>
            </w:r>
          </w:p>
        </w:tc>
        <w:tc>
          <w:tcPr>
            <w:tcW w:w="2214" w:type="dxa"/>
            <w:tcBorders>
              <w:top w:val="nil"/>
              <w:left w:val="nil"/>
              <w:bottom w:val="nil"/>
              <w:right w:val="nil"/>
            </w:tcBorders>
          </w:tcPr>
          <w:p w14:paraId="10252C51" w14:textId="77777777" w:rsidR="00D34A51" w:rsidRPr="0059396B" w:rsidRDefault="00D34A51" w:rsidP="00E621BB">
            <w:pPr>
              <w:jc w:val="both"/>
              <w:rPr>
                <w:rFonts w:eastAsia="Calibri"/>
                <w:b/>
                <w:bCs/>
              </w:rPr>
            </w:pPr>
          </w:p>
        </w:tc>
        <w:tc>
          <w:tcPr>
            <w:tcW w:w="2336" w:type="dxa"/>
            <w:tcBorders>
              <w:top w:val="nil"/>
              <w:left w:val="nil"/>
              <w:bottom w:val="nil"/>
              <w:right w:val="nil"/>
            </w:tcBorders>
          </w:tcPr>
          <w:p w14:paraId="7D21C6D6" w14:textId="77777777" w:rsidR="00D34A51" w:rsidRPr="0059396B" w:rsidRDefault="00D34A51" w:rsidP="00E621BB">
            <w:pPr>
              <w:jc w:val="both"/>
              <w:rPr>
                <w:rFonts w:eastAsia="Calibri"/>
                <w:b/>
                <w:bCs/>
              </w:rPr>
            </w:pPr>
          </w:p>
        </w:tc>
        <w:tc>
          <w:tcPr>
            <w:tcW w:w="2025" w:type="dxa"/>
            <w:tcBorders>
              <w:top w:val="nil"/>
              <w:left w:val="nil"/>
              <w:bottom w:val="nil"/>
              <w:right w:val="nil"/>
            </w:tcBorders>
          </w:tcPr>
          <w:p w14:paraId="13D5EE6A" w14:textId="77777777" w:rsidR="00D34A51" w:rsidRPr="0059396B" w:rsidRDefault="00D34A51" w:rsidP="00E621BB">
            <w:pPr>
              <w:jc w:val="both"/>
              <w:rPr>
                <w:rFonts w:eastAsia="Calibri"/>
                <w:b/>
                <w:bCs/>
              </w:rPr>
            </w:pPr>
          </w:p>
        </w:tc>
      </w:tr>
      <w:tr w:rsidR="00D34A51" w:rsidRPr="0059396B" w14:paraId="13D645A5" w14:textId="77777777" w:rsidTr="00E621BB">
        <w:tc>
          <w:tcPr>
            <w:tcW w:w="2497" w:type="dxa"/>
            <w:tcBorders>
              <w:top w:val="nil"/>
              <w:left w:val="nil"/>
              <w:bottom w:val="nil"/>
              <w:right w:val="nil"/>
            </w:tcBorders>
          </w:tcPr>
          <w:p w14:paraId="4A044156" w14:textId="77777777" w:rsidR="00D34A51" w:rsidRPr="0059396B" w:rsidRDefault="00D34A51" w:rsidP="00E621BB">
            <w:pPr>
              <w:jc w:val="both"/>
              <w:rPr>
                <w:rFonts w:eastAsia="Calibri"/>
                <w:b/>
                <w:bCs/>
              </w:rPr>
            </w:pPr>
            <w:r w:rsidRPr="0059396B">
              <w:rPr>
                <w:rFonts w:eastAsia="Calibri"/>
              </w:rPr>
              <w:t>Positive subscale</w:t>
            </w:r>
          </w:p>
        </w:tc>
        <w:tc>
          <w:tcPr>
            <w:tcW w:w="2214" w:type="dxa"/>
            <w:tcBorders>
              <w:top w:val="nil"/>
              <w:left w:val="nil"/>
              <w:bottom w:val="nil"/>
              <w:right w:val="nil"/>
            </w:tcBorders>
          </w:tcPr>
          <w:p w14:paraId="204B65C6" w14:textId="77777777" w:rsidR="00D34A51" w:rsidRPr="0059396B" w:rsidRDefault="00D34A51" w:rsidP="00E621BB">
            <w:pPr>
              <w:jc w:val="both"/>
              <w:rPr>
                <w:rFonts w:eastAsia="Calibri"/>
                <w:b/>
                <w:bCs/>
              </w:rPr>
            </w:pPr>
            <w:r w:rsidRPr="0059396B">
              <w:rPr>
                <w:rFonts w:eastAsia="Calibri"/>
              </w:rPr>
              <w:t>37.10</w:t>
            </w:r>
          </w:p>
        </w:tc>
        <w:tc>
          <w:tcPr>
            <w:tcW w:w="2336" w:type="dxa"/>
            <w:tcBorders>
              <w:top w:val="nil"/>
              <w:left w:val="nil"/>
              <w:bottom w:val="nil"/>
              <w:right w:val="nil"/>
            </w:tcBorders>
          </w:tcPr>
          <w:p w14:paraId="078C1521" w14:textId="77777777" w:rsidR="00D34A51" w:rsidRPr="0059396B" w:rsidRDefault="00D34A51" w:rsidP="00E621BB">
            <w:pPr>
              <w:jc w:val="both"/>
              <w:rPr>
                <w:rFonts w:eastAsia="Calibri"/>
                <w:b/>
                <w:bCs/>
              </w:rPr>
            </w:pPr>
            <w:r w:rsidRPr="0059396B">
              <w:rPr>
                <w:rFonts w:eastAsia="Calibri"/>
              </w:rPr>
              <w:t>3.84</w:t>
            </w:r>
          </w:p>
        </w:tc>
        <w:tc>
          <w:tcPr>
            <w:tcW w:w="2025" w:type="dxa"/>
            <w:tcBorders>
              <w:top w:val="nil"/>
              <w:left w:val="nil"/>
              <w:bottom w:val="nil"/>
              <w:right w:val="nil"/>
            </w:tcBorders>
          </w:tcPr>
          <w:p w14:paraId="24134F4F" w14:textId="77777777" w:rsidR="00D34A51" w:rsidRPr="0059396B" w:rsidRDefault="00D34A51" w:rsidP="00E621BB">
            <w:pPr>
              <w:jc w:val="both"/>
              <w:rPr>
                <w:rFonts w:eastAsia="Calibri"/>
              </w:rPr>
            </w:pPr>
            <w:r w:rsidRPr="0059396B">
              <w:rPr>
                <w:rFonts w:eastAsia="Calibri"/>
              </w:rPr>
              <w:t>31</w:t>
            </w:r>
          </w:p>
        </w:tc>
      </w:tr>
      <w:tr w:rsidR="00D34A51" w:rsidRPr="0059396B" w14:paraId="06592C19" w14:textId="77777777" w:rsidTr="00E621BB">
        <w:tc>
          <w:tcPr>
            <w:tcW w:w="2497" w:type="dxa"/>
            <w:tcBorders>
              <w:top w:val="nil"/>
              <w:left w:val="nil"/>
              <w:bottom w:val="nil"/>
              <w:right w:val="nil"/>
            </w:tcBorders>
          </w:tcPr>
          <w:p w14:paraId="1E3A8A68" w14:textId="77777777" w:rsidR="00D34A51" w:rsidRPr="0059396B" w:rsidRDefault="00D34A51" w:rsidP="00E621BB">
            <w:pPr>
              <w:jc w:val="both"/>
              <w:rPr>
                <w:rFonts w:eastAsia="Calibri"/>
                <w:b/>
                <w:bCs/>
              </w:rPr>
            </w:pPr>
            <w:r w:rsidRPr="0059396B">
              <w:rPr>
                <w:rFonts w:eastAsia="Calibri"/>
              </w:rPr>
              <w:t>Negative subscale</w:t>
            </w:r>
          </w:p>
        </w:tc>
        <w:tc>
          <w:tcPr>
            <w:tcW w:w="2214" w:type="dxa"/>
            <w:tcBorders>
              <w:top w:val="nil"/>
              <w:left w:val="nil"/>
              <w:bottom w:val="nil"/>
              <w:right w:val="nil"/>
            </w:tcBorders>
          </w:tcPr>
          <w:p w14:paraId="46DC8BDA" w14:textId="77777777" w:rsidR="00D34A51" w:rsidRPr="0059396B" w:rsidRDefault="00D34A51" w:rsidP="00E621BB">
            <w:pPr>
              <w:jc w:val="both"/>
              <w:rPr>
                <w:rFonts w:eastAsia="Calibri"/>
                <w:b/>
                <w:bCs/>
              </w:rPr>
            </w:pPr>
            <w:r w:rsidRPr="0059396B">
              <w:rPr>
                <w:rFonts w:eastAsia="Calibri"/>
              </w:rPr>
              <w:t>21.71</w:t>
            </w:r>
          </w:p>
        </w:tc>
        <w:tc>
          <w:tcPr>
            <w:tcW w:w="2336" w:type="dxa"/>
            <w:tcBorders>
              <w:top w:val="nil"/>
              <w:left w:val="nil"/>
              <w:bottom w:val="nil"/>
              <w:right w:val="nil"/>
            </w:tcBorders>
          </w:tcPr>
          <w:p w14:paraId="15EDFC65" w14:textId="77777777" w:rsidR="00D34A51" w:rsidRPr="0059396B" w:rsidRDefault="00D34A51" w:rsidP="00E621BB">
            <w:pPr>
              <w:jc w:val="both"/>
              <w:rPr>
                <w:rFonts w:eastAsia="Calibri"/>
                <w:b/>
                <w:bCs/>
              </w:rPr>
            </w:pPr>
            <w:r w:rsidRPr="0059396B">
              <w:rPr>
                <w:rFonts w:eastAsia="Calibri"/>
              </w:rPr>
              <w:t>5.72</w:t>
            </w:r>
          </w:p>
        </w:tc>
        <w:tc>
          <w:tcPr>
            <w:tcW w:w="2025" w:type="dxa"/>
            <w:tcBorders>
              <w:top w:val="nil"/>
              <w:left w:val="nil"/>
              <w:bottom w:val="nil"/>
              <w:right w:val="nil"/>
            </w:tcBorders>
          </w:tcPr>
          <w:p w14:paraId="65F86C21" w14:textId="77777777" w:rsidR="00D34A51" w:rsidRPr="0059396B" w:rsidRDefault="00D34A51" w:rsidP="00E621BB">
            <w:pPr>
              <w:jc w:val="both"/>
              <w:rPr>
                <w:rFonts w:eastAsia="Calibri"/>
              </w:rPr>
            </w:pPr>
            <w:r w:rsidRPr="0059396B">
              <w:rPr>
                <w:rFonts w:eastAsia="Calibri"/>
              </w:rPr>
              <w:t>31</w:t>
            </w:r>
          </w:p>
        </w:tc>
      </w:tr>
      <w:tr w:rsidR="00D34A51" w:rsidRPr="0059396B" w14:paraId="26F662FD" w14:textId="77777777" w:rsidTr="00E621BB">
        <w:tc>
          <w:tcPr>
            <w:tcW w:w="2497" w:type="dxa"/>
            <w:tcBorders>
              <w:top w:val="nil"/>
              <w:left w:val="nil"/>
              <w:bottom w:val="nil"/>
              <w:right w:val="nil"/>
            </w:tcBorders>
          </w:tcPr>
          <w:p w14:paraId="25FD6318" w14:textId="77777777" w:rsidR="00D34A51" w:rsidRPr="0059396B" w:rsidRDefault="00D34A51" w:rsidP="00E621BB">
            <w:pPr>
              <w:jc w:val="both"/>
              <w:rPr>
                <w:rFonts w:eastAsia="Calibri"/>
                <w:b/>
                <w:bCs/>
              </w:rPr>
            </w:pPr>
            <w:r w:rsidRPr="0059396B">
              <w:rPr>
                <w:rFonts w:eastAsia="Calibri"/>
              </w:rPr>
              <w:t>PCS</w:t>
            </w:r>
          </w:p>
        </w:tc>
        <w:tc>
          <w:tcPr>
            <w:tcW w:w="2214" w:type="dxa"/>
            <w:tcBorders>
              <w:top w:val="nil"/>
              <w:left w:val="nil"/>
              <w:bottom w:val="nil"/>
              <w:right w:val="nil"/>
            </w:tcBorders>
          </w:tcPr>
          <w:p w14:paraId="04CF6969" w14:textId="77777777" w:rsidR="00D34A51" w:rsidRPr="0059396B" w:rsidRDefault="00D34A51" w:rsidP="00E621BB">
            <w:pPr>
              <w:jc w:val="both"/>
              <w:rPr>
                <w:rFonts w:eastAsia="Calibri"/>
                <w:b/>
                <w:bCs/>
              </w:rPr>
            </w:pPr>
          </w:p>
        </w:tc>
        <w:tc>
          <w:tcPr>
            <w:tcW w:w="2336" w:type="dxa"/>
            <w:tcBorders>
              <w:top w:val="nil"/>
              <w:left w:val="nil"/>
              <w:bottom w:val="nil"/>
              <w:right w:val="nil"/>
            </w:tcBorders>
          </w:tcPr>
          <w:p w14:paraId="240BA4E2" w14:textId="77777777" w:rsidR="00D34A51" w:rsidRPr="0059396B" w:rsidRDefault="00D34A51" w:rsidP="00E621BB">
            <w:pPr>
              <w:jc w:val="both"/>
              <w:rPr>
                <w:rFonts w:eastAsia="Calibri"/>
                <w:b/>
                <w:bCs/>
              </w:rPr>
            </w:pPr>
          </w:p>
        </w:tc>
        <w:tc>
          <w:tcPr>
            <w:tcW w:w="2025" w:type="dxa"/>
            <w:tcBorders>
              <w:top w:val="nil"/>
              <w:left w:val="nil"/>
              <w:bottom w:val="nil"/>
              <w:right w:val="nil"/>
            </w:tcBorders>
          </w:tcPr>
          <w:p w14:paraId="6DC12D5E" w14:textId="77777777" w:rsidR="00D34A51" w:rsidRPr="0059396B" w:rsidRDefault="00D34A51" w:rsidP="00E621BB">
            <w:pPr>
              <w:jc w:val="both"/>
              <w:rPr>
                <w:rFonts w:eastAsia="Calibri"/>
                <w:b/>
                <w:bCs/>
              </w:rPr>
            </w:pPr>
          </w:p>
        </w:tc>
      </w:tr>
      <w:tr w:rsidR="00D34A51" w:rsidRPr="0059396B" w14:paraId="55CBB280" w14:textId="77777777" w:rsidTr="00E621BB">
        <w:tc>
          <w:tcPr>
            <w:tcW w:w="2497" w:type="dxa"/>
            <w:tcBorders>
              <w:top w:val="nil"/>
              <w:left w:val="nil"/>
              <w:bottom w:val="nil"/>
              <w:right w:val="nil"/>
            </w:tcBorders>
          </w:tcPr>
          <w:p w14:paraId="554056DB" w14:textId="77777777" w:rsidR="00D34A51" w:rsidRPr="0059396B" w:rsidRDefault="00D34A51" w:rsidP="00E621BB">
            <w:pPr>
              <w:jc w:val="both"/>
              <w:rPr>
                <w:rFonts w:eastAsia="Calibri"/>
                <w:b/>
                <w:bCs/>
              </w:rPr>
            </w:pPr>
            <w:r w:rsidRPr="0059396B">
              <w:rPr>
                <w:rFonts w:eastAsia="Calibri"/>
              </w:rPr>
              <w:t>Helplessness subscale</w:t>
            </w:r>
          </w:p>
        </w:tc>
        <w:tc>
          <w:tcPr>
            <w:tcW w:w="2214" w:type="dxa"/>
            <w:tcBorders>
              <w:top w:val="nil"/>
              <w:left w:val="nil"/>
              <w:bottom w:val="nil"/>
              <w:right w:val="nil"/>
            </w:tcBorders>
          </w:tcPr>
          <w:p w14:paraId="2050EC52" w14:textId="77777777" w:rsidR="00D34A51" w:rsidRPr="0059396B" w:rsidRDefault="00D34A51" w:rsidP="00E621BB">
            <w:pPr>
              <w:jc w:val="both"/>
              <w:rPr>
                <w:rFonts w:eastAsia="Calibri"/>
              </w:rPr>
            </w:pPr>
            <w:r w:rsidRPr="0059396B">
              <w:rPr>
                <w:rFonts w:eastAsia="Calibri"/>
              </w:rPr>
              <w:t>4.50</w:t>
            </w:r>
          </w:p>
        </w:tc>
        <w:tc>
          <w:tcPr>
            <w:tcW w:w="2336" w:type="dxa"/>
            <w:tcBorders>
              <w:top w:val="nil"/>
              <w:left w:val="nil"/>
              <w:bottom w:val="nil"/>
              <w:right w:val="nil"/>
            </w:tcBorders>
          </w:tcPr>
          <w:p w14:paraId="5B86DAAE" w14:textId="77777777" w:rsidR="00D34A51" w:rsidRPr="0059396B" w:rsidRDefault="00D34A51" w:rsidP="00E621BB">
            <w:pPr>
              <w:jc w:val="both"/>
              <w:rPr>
                <w:rFonts w:eastAsia="Calibri"/>
                <w:b/>
                <w:bCs/>
              </w:rPr>
            </w:pPr>
            <w:r w:rsidRPr="0059396B">
              <w:rPr>
                <w:rFonts w:eastAsia="Calibri"/>
              </w:rPr>
              <w:t>2.96</w:t>
            </w:r>
          </w:p>
        </w:tc>
        <w:tc>
          <w:tcPr>
            <w:tcW w:w="2025" w:type="dxa"/>
            <w:tcBorders>
              <w:top w:val="nil"/>
              <w:left w:val="nil"/>
              <w:bottom w:val="nil"/>
              <w:right w:val="nil"/>
            </w:tcBorders>
          </w:tcPr>
          <w:p w14:paraId="5F803DB2" w14:textId="77777777" w:rsidR="00D34A51" w:rsidRPr="0059396B" w:rsidRDefault="00D34A51" w:rsidP="00E621BB">
            <w:pPr>
              <w:jc w:val="both"/>
              <w:rPr>
                <w:rFonts w:eastAsia="Calibri"/>
              </w:rPr>
            </w:pPr>
            <w:r w:rsidRPr="0059396B">
              <w:rPr>
                <w:rFonts w:eastAsia="Calibri"/>
              </w:rPr>
              <w:t>30</w:t>
            </w:r>
          </w:p>
        </w:tc>
      </w:tr>
      <w:tr w:rsidR="00D34A51" w:rsidRPr="0059396B" w14:paraId="3DEB17FC" w14:textId="77777777" w:rsidTr="00E621BB">
        <w:tc>
          <w:tcPr>
            <w:tcW w:w="2497" w:type="dxa"/>
            <w:tcBorders>
              <w:top w:val="nil"/>
              <w:left w:val="nil"/>
              <w:bottom w:val="nil"/>
              <w:right w:val="nil"/>
            </w:tcBorders>
          </w:tcPr>
          <w:p w14:paraId="028BB45E" w14:textId="77777777" w:rsidR="00D34A51" w:rsidRPr="0059396B" w:rsidRDefault="00D34A51" w:rsidP="00E621BB">
            <w:pPr>
              <w:jc w:val="both"/>
              <w:rPr>
                <w:rFonts w:eastAsia="Calibri"/>
                <w:b/>
                <w:bCs/>
              </w:rPr>
            </w:pPr>
            <w:r w:rsidRPr="0059396B">
              <w:rPr>
                <w:rFonts w:eastAsia="Calibri"/>
              </w:rPr>
              <w:t>Magnification subscale</w:t>
            </w:r>
          </w:p>
        </w:tc>
        <w:tc>
          <w:tcPr>
            <w:tcW w:w="2214" w:type="dxa"/>
            <w:tcBorders>
              <w:top w:val="nil"/>
              <w:left w:val="nil"/>
              <w:bottom w:val="nil"/>
              <w:right w:val="nil"/>
            </w:tcBorders>
          </w:tcPr>
          <w:p w14:paraId="449321C9" w14:textId="77777777" w:rsidR="00D34A51" w:rsidRPr="0059396B" w:rsidRDefault="00D34A51" w:rsidP="00E621BB">
            <w:pPr>
              <w:jc w:val="both"/>
              <w:rPr>
                <w:rFonts w:eastAsia="Calibri"/>
                <w:b/>
                <w:bCs/>
              </w:rPr>
            </w:pPr>
            <w:r w:rsidRPr="0059396B">
              <w:rPr>
                <w:rFonts w:eastAsia="Calibri"/>
              </w:rPr>
              <w:t>2.90</w:t>
            </w:r>
          </w:p>
        </w:tc>
        <w:tc>
          <w:tcPr>
            <w:tcW w:w="2336" w:type="dxa"/>
            <w:tcBorders>
              <w:top w:val="nil"/>
              <w:left w:val="nil"/>
              <w:bottom w:val="nil"/>
              <w:right w:val="nil"/>
            </w:tcBorders>
          </w:tcPr>
          <w:p w14:paraId="5B83F93B" w14:textId="77777777" w:rsidR="00D34A51" w:rsidRPr="0059396B" w:rsidRDefault="00D34A51" w:rsidP="00E621BB">
            <w:pPr>
              <w:jc w:val="both"/>
              <w:rPr>
                <w:rFonts w:eastAsia="Calibri"/>
                <w:b/>
                <w:bCs/>
              </w:rPr>
            </w:pPr>
            <w:r w:rsidRPr="0059396B">
              <w:rPr>
                <w:rFonts w:eastAsia="Calibri"/>
              </w:rPr>
              <w:t>1.97</w:t>
            </w:r>
          </w:p>
        </w:tc>
        <w:tc>
          <w:tcPr>
            <w:tcW w:w="2025" w:type="dxa"/>
            <w:tcBorders>
              <w:top w:val="nil"/>
              <w:left w:val="nil"/>
              <w:bottom w:val="nil"/>
              <w:right w:val="nil"/>
            </w:tcBorders>
          </w:tcPr>
          <w:p w14:paraId="70FD3BC6" w14:textId="77777777" w:rsidR="00D34A51" w:rsidRPr="0059396B" w:rsidRDefault="00D34A51" w:rsidP="00E621BB">
            <w:pPr>
              <w:jc w:val="both"/>
              <w:rPr>
                <w:rFonts w:eastAsia="Calibri"/>
              </w:rPr>
            </w:pPr>
            <w:r w:rsidRPr="0059396B">
              <w:rPr>
                <w:rFonts w:eastAsia="Calibri"/>
              </w:rPr>
              <w:t>30</w:t>
            </w:r>
          </w:p>
        </w:tc>
      </w:tr>
      <w:tr w:rsidR="00D34A51" w:rsidRPr="0059396B" w14:paraId="10E6E8C8" w14:textId="77777777" w:rsidTr="00E621BB">
        <w:tc>
          <w:tcPr>
            <w:tcW w:w="2497" w:type="dxa"/>
            <w:tcBorders>
              <w:top w:val="nil"/>
              <w:left w:val="nil"/>
              <w:bottom w:val="single" w:sz="4" w:space="0" w:color="auto"/>
              <w:right w:val="nil"/>
            </w:tcBorders>
          </w:tcPr>
          <w:p w14:paraId="7F03FE87" w14:textId="77777777" w:rsidR="00D34A51" w:rsidRPr="0059396B" w:rsidRDefault="00D34A51" w:rsidP="00E621BB">
            <w:pPr>
              <w:jc w:val="both"/>
              <w:rPr>
                <w:rFonts w:eastAsia="Calibri"/>
                <w:b/>
                <w:bCs/>
              </w:rPr>
            </w:pPr>
            <w:r w:rsidRPr="0059396B">
              <w:rPr>
                <w:rFonts w:eastAsia="Calibri"/>
              </w:rPr>
              <w:t>Rumination subscale</w:t>
            </w:r>
          </w:p>
        </w:tc>
        <w:tc>
          <w:tcPr>
            <w:tcW w:w="2214" w:type="dxa"/>
            <w:tcBorders>
              <w:top w:val="nil"/>
              <w:left w:val="nil"/>
              <w:bottom w:val="single" w:sz="4" w:space="0" w:color="auto"/>
              <w:right w:val="nil"/>
            </w:tcBorders>
          </w:tcPr>
          <w:p w14:paraId="57487508" w14:textId="77777777" w:rsidR="00D34A51" w:rsidRPr="0059396B" w:rsidRDefault="00D34A51" w:rsidP="00E621BB">
            <w:pPr>
              <w:jc w:val="both"/>
              <w:rPr>
                <w:rFonts w:eastAsia="Calibri"/>
                <w:b/>
                <w:bCs/>
              </w:rPr>
            </w:pPr>
            <w:r w:rsidRPr="0059396B">
              <w:rPr>
                <w:rFonts w:eastAsia="Calibri"/>
              </w:rPr>
              <w:t>7.73</w:t>
            </w:r>
          </w:p>
        </w:tc>
        <w:tc>
          <w:tcPr>
            <w:tcW w:w="2336" w:type="dxa"/>
            <w:tcBorders>
              <w:top w:val="nil"/>
              <w:left w:val="nil"/>
              <w:bottom w:val="single" w:sz="4" w:space="0" w:color="auto"/>
              <w:right w:val="nil"/>
            </w:tcBorders>
          </w:tcPr>
          <w:p w14:paraId="11BE94A4" w14:textId="77777777" w:rsidR="00D34A51" w:rsidRPr="0059396B" w:rsidRDefault="00D34A51" w:rsidP="00E621BB">
            <w:pPr>
              <w:jc w:val="both"/>
              <w:rPr>
                <w:rFonts w:eastAsia="Calibri"/>
                <w:b/>
                <w:bCs/>
              </w:rPr>
            </w:pPr>
            <w:r w:rsidRPr="0059396B">
              <w:rPr>
                <w:rFonts w:eastAsia="Calibri"/>
              </w:rPr>
              <w:t>2.78</w:t>
            </w:r>
          </w:p>
        </w:tc>
        <w:tc>
          <w:tcPr>
            <w:tcW w:w="2025" w:type="dxa"/>
            <w:tcBorders>
              <w:top w:val="nil"/>
              <w:left w:val="nil"/>
              <w:bottom w:val="single" w:sz="4" w:space="0" w:color="auto"/>
              <w:right w:val="nil"/>
            </w:tcBorders>
          </w:tcPr>
          <w:p w14:paraId="57591E29" w14:textId="77777777" w:rsidR="00D34A51" w:rsidRPr="0059396B" w:rsidRDefault="00D34A51" w:rsidP="00E621BB">
            <w:pPr>
              <w:jc w:val="both"/>
              <w:rPr>
                <w:rFonts w:eastAsia="Calibri"/>
              </w:rPr>
            </w:pPr>
            <w:r w:rsidRPr="0059396B">
              <w:rPr>
                <w:rFonts w:eastAsia="Calibri"/>
              </w:rPr>
              <w:t>30</w:t>
            </w:r>
          </w:p>
        </w:tc>
      </w:tr>
    </w:tbl>
    <w:p w14:paraId="609F89D2" w14:textId="0844A6F3" w:rsidR="00971919" w:rsidRDefault="00D34A51" w:rsidP="00D34A51">
      <w:pPr>
        <w:jc w:val="both"/>
        <w:rPr>
          <w:rFonts w:eastAsia="Calibri"/>
          <w:lang w:val="en-US"/>
        </w:rPr>
      </w:pPr>
      <w:r w:rsidRPr="00D34A51">
        <w:rPr>
          <w:rFonts w:eastAsia="Calibri"/>
          <w:i/>
          <w:iCs/>
          <w:lang w:val="en-US"/>
        </w:rPr>
        <w:t xml:space="preserve">Note. </w:t>
      </w:r>
      <w:r w:rsidRPr="00D34A51">
        <w:rPr>
          <w:rFonts w:eastAsia="Calibri"/>
          <w:lang w:val="en-US"/>
        </w:rPr>
        <w:t>Participants filled out a questionnaire battery during the intake session, as part of a larger attempt to relate individual differences in anxiety- and pain-related traits to individual differences in relief. The battery consisted of Dutch versions of the Depression, Anxiety &amp; Stress Scales (DASS)</w:t>
      </w:r>
      <w:r w:rsidRPr="0059396B">
        <w:rPr>
          <w:rFonts w:eastAsia="Calibri"/>
        </w:rPr>
        <w:fldChar w:fldCharType="begin" w:fldLock="1"/>
      </w:r>
      <w:r w:rsidRPr="00D34A51">
        <w:rPr>
          <w:rFonts w:eastAsia="Calibri"/>
          <w:lang w:val="en-US"/>
        </w:rPr>
        <w:instrText>ADDIN CSL_CITATION {"citationItems":[{"id":"ITEM-1","itemData":{"DOI":"https://doi.org/10.1016/0005-7967(94)00075-U","ISSN":"0005-7967","abstract":"The psychometric properties of the Depression Anxiety Stress Scales (DASS) were evaluated in a normal sample of N = 717 who were also administered the Beck Depression Inventory (BDI) and the Beck Anxiety Inventory (BAI). The DASS was shown to possess satisfactory psychometric properties, and the factor structure was substantiated both by exploratory and confirmatory factor analysis. In comparison to the BDI and BAI, the DASS scales showed greater separation in factor loadings. The DASS Anxiety scale correlated 0.81 with the BAI, and the DASS Depression scale correlated 0.74 with the BDI. Factor analyses suggested that the BDI differs from the DASS Depression scale primarily in that the BDI includes items such as weight loss, insomnia, somatic preoccupation and irritability, which fail to discriminate between depression and other affective states. The factor structure of the combined BDI and BAI items was virtually identical to that reported by Beck for a sample of diagnosed depressed and anxious patients, supporting the view that these clinical states are more severe expressions of the same states that may be discerned in normals. Implications of the results for the conceptualisation of depression, anxiety and tension/stress are considered, and the utility of the DASS scales in discriminating between these constructs is discussed.","author":[{"dropping-particle":"","family":"Lovibond","given":"P F","non-dropping-particle":"","parse-names":false,"suffix":""},{"dropping-particle":"","family":"Lovibond","given":"S H","non-dropping-particle":"","parse-names":false,"suffix":""}],"container-title":"Behaviour Research and Therapy","id":"ITEM-1","issue":"3","issued":{"date-parts":[["1995"]]},"page":"335-343","title":"The structure of negative emotional states: Comparison of the Depression Anxiety Stress Scales (DASS) with the Beck Depression and Anxiety Inventories","type":"article-journal","volume":"33"},"uris":["http://www.mendeley.com/documents/?uuid=a1edbda2-826d-486b-99e9-31cba65af003"]},{"id":"ITEM-2","itemData":{"author":[{"dropping-particle":"","family":"Beurs","given":"E","non-dropping-particle":"De","parse-names":false,"suffix":""},{"dropping-particle":"","family":"Dyck","given":"R","non-dropping-particle":"Van","parse-names":false,"suffix":""}],"container-title":"Gedragstherapie : tijdschrift voor gedragstherapie en cognitieve therapie.","id":"ITEM-2","issued":{"date-parts":[["2001"]]},"page":"35-53","title":"De DASS: een vragenlijst voor het meten van depressie, angst en stress","type":"article-journal","volume":"34"},"uris":["http://www.mendeley.com/documents/?uuid=98646c5c-c504-464f-86f8-123979dd68a1"]}],"mendeley":{"formattedCitation":"(De Beurs &amp; Van Dyck, 2001; Lovibond &amp; Lovibond, 1995)","plainTextFormattedCitation":"(De Beurs &amp; Van Dyck, 2001; Lovibond &amp; Lovibond, 1995)"},"properties":{"noteIndex":0},"schema":"https://github.com/citation-style-language/schema/raw/master/csl-citation.json"}</w:instrText>
      </w:r>
      <w:r w:rsidRPr="0059396B">
        <w:rPr>
          <w:rFonts w:eastAsia="Calibri"/>
        </w:rPr>
        <w:fldChar w:fldCharType="separate"/>
      </w:r>
      <w:r w:rsidRPr="00D34A51">
        <w:rPr>
          <w:rFonts w:eastAsia="Calibri"/>
          <w:noProof/>
          <w:lang w:val="en-US"/>
        </w:rPr>
        <w:t>(De Beurs &amp; Van Dyck, 2001; Lovibond &amp; Lovibond, 1995)</w:t>
      </w:r>
      <w:r w:rsidRPr="0059396B">
        <w:rPr>
          <w:rFonts w:eastAsia="Calibri"/>
        </w:rPr>
        <w:fldChar w:fldCharType="end"/>
      </w:r>
      <w:r w:rsidRPr="00D34A51">
        <w:rPr>
          <w:rFonts w:eastAsia="Calibri"/>
          <w:lang w:val="en-US"/>
        </w:rPr>
        <w:t>, State-Trait Anxiety Inventory (STAI)</w:t>
      </w:r>
      <w:r w:rsidRPr="0059396B">
        <w:rPr>
          <w:rFonts w:eastAsia="Calibri"/>
        </w:rPr>
        <w:fldChar w:fldCharType="begin" w:fldLock="1"/>
      </w:r>
      <w:r w:rsidRPr="00D34A51">
        <w:rPr>
          <w:rFonts w:eastAsia="Calibri"/>
          <w:lang w:val="en-US"/>
        </w:rPr>
        <w:instrText>ADDIN CSL_CITATION {"citationItems":[{"id":"ITEM-1","itemData":{"author":[{"dropping-particle":"","family":"Spielberger","given":"Charles","non-dropping-particle":"","parse-names":false,"suffix":""},{"dropping-particle":"","family":"Gorsuch","given":"Richard","non-dropping-particle":"","parse-names":false,"suffix":""},{"dropping-particle":"","family":"Lushene","given":"Robert","non-dropping-particle":"","parse-names":false,"suffix":""},{"dropping-particle":"","family":"Vagg","given":"P R","non-dropping-particle":"","parse-names":false,"suffix":""},{"dropping-particle":"","family":"Jacobs","given":"Gerard","non-dropping-particle":"","parse-names":false,"suffix":""}],"container-title":"Palo Alto, CA: Consulting Psychologists Press;","id":"ITEM-1","issued":{"date-parts":[["1983","1","1"]]},"title":"Manual for the State-Trait Anxiety Inventory (Form Y1 – Y2)","type":"book","volume":"IV"},"uris":["http://www.mendeley.com/documents/?uuid=fd1693d5-1074-4481-801c-9b6044a02658"]},{"id":"ITEM-2","itemData":{"author":[{"dropping-particle":"","family":"Ploeg","given":"H. M.","non-dropping-particle":"Van der","parse-names":false,"suffix":""}],"container-title":"Tijdschrift Voor Psychiatrie","id":"ITEM-2","issued":{"date-parts":[["1982"]]},"page":"576-588","title":"De zelf-beoordelings vragenlijst (STAY-DY)","type":"article-journal","volume":"24"},"uris":["http://www.mendeley.com/documents/?uuid=e</w:instrText>
      </w:r>
      <w:r w:rsidRPr="0059396B">
        <w:rPr>
          <w:rFonts w:eastAsia="Calibri"/>
        </w:rPr>
        <w:instrText>adabc9f-2466-4dfa-987e-dd1be0400603"]}],"mendeley":{"formattedCitation":"(Spielberger et al., 1983; Van der Ploeg, 1982)","plainTextFormattedCitation":"(Spielberger et al., 1983; Van der Ploeg, 1982)","previouslyFormattedCitation":"&lt;sup&gt;55,56&lt;/sup&gt;"},"properties":{"noteIndex":0},"schema":"https://github.com/citation-style-language/schema/raw/master/csl-citation.json"}</w:instrText>
      </w:r>
      <w:r w:rsidRPr="0059396B">
        <w:rPr>
          <w:rFonts w:eastAsia="Calibri"/>
        </w:rPr>
        <w:fldChar w:fldCharType="separate"/>
      </w:r>
      <w:r w:rsidRPr="0059396B">
        <w:rPr>
          <w:rFonts w:eastAsia="Calibri"/>
          <w:noProof/>
        </w:rPr>
        <w:t>(Spielberger et al., 1983; Van der Ploeg, 1982)</w:t>
      </w:r>
      <w:r w:rsidRPr="0059396B">
        <w:rPr>
          <w:rFonts w:eastAsia="Calibri"/>
        </w:rPr>
        <w:fldChar w:fldCharType="end"/>
      </w:r>
      <w:r w:rsidRPr="0059396B">
        <w:rPr>
          <w:rFonts w:eastAsia="Calibri"/>
        </w:rPr>
        <w:t>, Intolerance of Uncertainty Scale (IUS)</w:t>
      </w:r>
      <w:r w:rsidRPr="0059396B">
        <w:rPr>
          <w:rFonts w:eastAsia="Calibri"/>
        </w:rPr>
        <w:fldChar w:fldCharType="begin" w:fldLock="1"/>
      </w:r>
      <w:r w:rsidRPr="0059396B">
        <w:rPr>
          <w:rFonts w:eastAsia="Calibri"/>
        </w:rPr>
        <w:instrText>ADDIN CSL_CITATION {"citationItems":[{"id":"ITEM-1","itemData":{"DOI":"10.1016/0191-8869(94)90048-5","ISSN":"01918869","abstract":"Over the last few years there has been increased interest in worry. Most assessment up until now has been concerned with what people worry about and how much they worry rather than exploring reasons for worrying. Two questionnaires were developed to go beyond the content and intensity of worry. The first questionnaire, Why Worry?, contains 20 items and assesses reasons why people say they worry. Two types of reasons were found. First, subjects believe that worrying can prevent negative outcomes from happening, minimize the effects of negative events by decreasing guilt, avoiding disappointment, or provide distraction from thinking about things that are even worse. Second, people believe worrying has positive effects such as finding a better way of doing things, increasing control, and finding solutions. The second questionnaire, Intolerance of Uncertainty, consists of 27 items that assesses emotional, cognitive and behavioral reactions to ambiguous situations, implications of being uncertain, and attempts to control the future. The second study demonstrates the instruments' properties by distinguishing between levels of worry, by factor analysis describing the dimensions underlying the constructs, and by establishing appropriate relationships with measures of worry and emotional distress. The implications for current models of worry are discussed. © 1994.","author":[{"dropping-particle":"","family":"Freeston","given":"Mark H.","non-dropping-particle":"","parse-names":false,"suffix":""},{"dropping-particle":"","family":"Rhéaume","given":"Josée","non-dropping-particle":"","parse-names":false,"suffix":""},{"dropping-particle":"","family":"Letarte","given":"Hélène","non-dropping-particle":"","parse-names":false,"suffix":""},{"dropping-particle":"","family":"Dugas","given":"Michel J.","non-dropping-particle":"","parse-names":false,"suffix":""},{"dropping-particle":"","family":"Ladouceur","given":"Robert","non-dropping-particle":"","parse-names":false,"suffix":""}],"container-title":"Personality and Individual Differences","id":"ITEM-1","issue":"6","issued":{"date-parts":[["1994"]]},"page":"791-802","title":"Why do people worry?","type":"article-journal","volume":"17"},"uris":["http://www.mendeley.com/documents/?uuid=4ee8366e-2b6b-4233-9c71-5809e4f7597d"]},{"id":"ITEM-2","itemData":{"DOI":"10.1007/BF03061055","ISSN":"1876-8768","abstract":"Intolerance of uncertainty (IU) is thought to play a key role in the development and maintenance of worry and generalised anxiety disorder (GAD). The present study investigated the psychometric properties of the Dutch translation of the Intolerance of Uncertainty Scale (IUS), the most frequently employed scale for measuring IU. The factor analysis of the IUS pointed in the direction of a one-factor solution. Furthermore, the Dutch IUS portrayed excellent internal consistency and test-retest reliability. Tests of construct validity showed that the Dutch IUS correlated significantly more strongly with worry than with depression. The regression analysis demonstrated that IU contributed significantly to worry, after controlling for demographic variables and levels of anxiety and depression. In addition, it was demonstrated that the IUS successfully discriminated between patients with GAD and other anxiety disorders, and non-clinical participants. Overall, it seems safe to conclude that the Dutch IUS is a reliable and valid scale for assessing IU. (Netherlands Journal of Psychology, 62, 91-97.)","author":[{"dropping-particle":"","family":"Bruin","given":"Gwendolijn Olivia","non-dropping-particle":"de","parse-names":false,"suffix":""},{"dropping-particle":"","family":"Rassin","given":"Eric","non-dropping-particle":"","parse-names":false,"suffix":""},{"dropping-particle":"","family":"Heiden","given":"Colin","non-dropping-particle":"van der","parse-names":false,"suffix":""},{"dropping-particle":"","family":"Muris","given":"Peter","non-dropping-particle":"","parse-names":false,"suffix":""}],"container-title":"Netherlands Journal of Psychology","id":"ITEM-2","issue":"2","issued":{"date-parts":[["2006"]]},"page":"87-92","title":"Psychometric properties of a Dutch version of the Intolerance of Uncertainty Scale","type":"article-journal","volume":"62"},"uris":["http://www.mendeley.com/documents/?uuid=09293693-9fc9-4ae3-9c3c-c358a86721fd"]}],"mendeley":{"formattedCitation":"(de Bruin et al., 2006; Freeston et al., 1994)","plainTextFormattedCitation":"(de Bruin et al., 2006; Freeston et al., 1994)","previouslyFormattedCitation":"&lt;sup&gt;57,58&lt;/sup&gt;"},"properties":{"noteIndex":0},"schema":"https://github.com/citation-style-language/schema/raw/master/csl-citation.json"}</w:instrText>
      </w:r>
      <w:r w:rsidRPr="0059396B">
        <w:rPr>
          <w:rFonts w:eastAsia="Calibri"/>
        </w:rPr>
        <w:fldChar w:fldCharType="separate"/>
      </w:r>
      <w:r w:rsidRPr="0059396B">
        <w:rPr>
          <w:rFonts w:eastAsia="Calibri"/>
          <w:noProof/>
        </w:rPr>
        <w:t>(de Bruin et al., 2006; Freeston et al., 1994)</w:t>
      </w:r>
      <w:r w:rsidRPr="0059396B">
        <w:rPr>
          <w:rFonts w:eastAsia="Calibri"/>
        </w:rPr>
        <w:fldChar w:fldCharType="end"/>
      </w:r>
      <w:r w:rsidRPr="0059396B">
        <w:rPr>
          <w:rFonts w:eastAsia="Calibri"/>
        </w:rPr>
        <w:t>, Positive and negative Affect Schedule (PANAS)</w:t>
      </w:r>
      <w:r w:rsidRPr="0059396B">
        <w:rPr>
          <w:rFonts w:eastAsia="Calibri"/>
        </w:rPr>
        <w:fldChar w:fldCharType="begin" w:fldLock="1"/>
      </w:r>
      <w:r w:rsidRPr="0059396B">
        <w:rPr>
          <w:rFonts w:eastAsia="Calibri"/>
        </w:rPr>
        <w:instrText>ADDIN CSL_CITATION {"citationItems":[{"id":"ITEM-1","itemData":{"ISBN":"0022-3514\\n1939-1315","ISSN":"0022-3514","PMID":"3397865","abstract":"In recent studies of the structure of affect, positive and negative affect have consistently emerged as two dominant and relatively independent dimensions. A number of mood scales have been created to measure these factors; however, many existing measures are inadequate, showing low reliability or poor convergent or discriminant validity. To fill the need for reliable and valid Positive Affect and Negative Affect scales that are also brief and easy to administer, we developed two 10-item mood scales that comprise the Positive and Negative Affect Schedule (PANAS). The scales are shown to be highly internally consistent, largely uncorrelated, and stable at appropriate levels over a 2-month time period. Normative data and factorial and external evidence of convergent and discriminant validity for the scales are also presented.","author":[{"dropping-particle":"","family":"Watson","given":"David","non-dropping-particle":"","parse-names":false,"suffix":""},{"dropping-particle":"","family":"Clark","given":"Lee Anna","non-dropping-particle":"","parse-names":false,"suffix":""},{"dropping-particle":"","family":"Tellegen","given":"Auke","non-dropping-particle":"","parse-names":false,"suffix":""}],"container-title":"Journal of Personality and Social Psychology","id":"ITEM-1","issue":"6","issued":{"date-parts":[["1988"]]},"page":"1063-1070","title":"Development and validation of brief measures of positive and negative affect: The PANAS scales","type":"article-journal","volume":"54"},"uris":["http://www.mendeley.com/documents/?uuid=4fda7d71-c40d-4c00-b280-f1df7dc4e01f"]},{"id":"ITEM-2","itemData":{"author":[{"dropping-particle":"","family":"Engelen","given":"U","non-dropping-particle":"","parse-names":false,"suffix":""},{"dropping-particle":"","family":"Peuter","given":"S","non-dropping-particle":"De","parse-names":false,"suffix":""},{"dropping-particle":"","family":"Victoir","given":"A","non-dropping-particle":"","parse-names":false,"suffix":""},{"dropping-particle":"","family":"Diest","given":"I","non-dropping-particle":"Van","parse-names":false,"suffix":""},{"dropping-particle":"","family":"Bergh","given":"O","non-dropping-particle":"Van den","parse-names":false,"suffix":""}],"container-title":"Gedrag en Gezondheid","id":"ITEM-2","issue":"2","issued":{"date-parts":[["2006"]]},"page":"89-102","title":"Verdere validering van de positive and negative affect schedule (PANAS) en vergelijking van twee Nederlandstalige versies","type":"article-journal","volume":"34"},"uris":["http://www.mendeley.com/documents/?uuid=16c1eaf7-127a-4d0b-bd6d-f07c37eb549a"]}],"mendeley":{"formattedCitation":"(Engelen et al., 2006; Watson et al., 1988)","plainTextFormattedCitation":"(Engelen et al., 2006; Watson et al., 1988)","previouslyFormattedCitation":"&lt;sup&gt;59,60&lt;/sup&gt;"},"properties":{"noteIndex":0},"schema":"https://github.com/citation-style-language/schema/raw/master/csl-citation.json"}</w:instrText>
      </w:r>
      <w:r w:rsidRPr="0059396B">
        <w:rPr>
          <w:rFonts w:eastAsia="Calibri"/>
        </w:rPr>
        <w:fldChar w:fldCharType="separate"/>
      </w:r>
      <w:r w:rsidRPr="0059396B">
        <w:rPr>
          <w:rFonts w:eastAsia="Calibri"/>
          <w:noProof/>
        </w:rPr>
        <w:t>(Engelen et al., 2006; Watson et al., 1988)</w:t>
      </w:r>
      <w:r w:rsidRPr="0059396B">
        <w:rPr>
          <w:rFonts w:eastAsia="Calibri"/>
        </w:rPr>
        <w:fldChar w:fldCharType="end"/>
      </w:r>
      <w:r w:rsidRPr="0059396B">
        <w:rPr>
          <w:rFonts w:eastAsia="Calibri"/>
        </w:rPr>
        <w:t>, Behavioral Inhibition Scale and Behavioral Activation Scale (BIS/BAS)</w:t>
      </w:r>
      <w:r w:rsidRPr="0059396B">
        <w:rPr>
          <w:rFonts w:eastAsia="Calibri"/>
        </w:rPr>
        <w:fldChar w:fldCharType="begin" w:fldLock="1"/>
      </w:r>
      <w:r w:rsidRPr="0059396B">
        <w:rPr>
          <w:rFonts w:eastAsia="Calibri"/>
        </w:rPr>
        <w:instrText>ADDIN CSL_CITATION {"citationItems":[{"id":"ITEM-1","itemData":{"DOI":"10.1007/s10862-005-3262-2","ISSN":"08822689","abstract":"This study examined the reliability, factor structure, and convergent validity of the Dutch version of C. S. Carver and T. L. White's (1994) Behavioral Approach System and Behavioral Inhibition System Scales (BIS/BAS Scales). For this purpose, the BIS/BAS Scales, a shortened version of the Eysenck Personality Questionnaire (EPQ), and the Dickman Impulsivity Inventory (DII) were administered to 246 undergraduate students in The Netherlands. The internal consistency of the BIS/BAS Scales was sufficient. Further, exploratory and confirmatory factor analysis showed that the Dutch BIS/BAS Scales have a factor structure similar to the English version. Finally, BIS/BAS Scales were found to correlate in a theoretically meaningful way with extraversion, neuroticism, psychoticism, and impulsivity.","author":[{"dropping-particle":"","family":"Franken","given":"Ingmar H.A.","non-dropping-particle":"","parse-names":false,"suffix":""},{"dropping-particle":"","family":"Muris","given":"Peter","non-dropping-particle":"","parse-names":false,"suffix":""},{"dropping-particle":"","family":"Rassin","given":"Eric","non-dropping-particle":"","parse-names":false,"suffix":""}],"container-title":"Journal of Psychopathology and Behavioral Assessment","id":"ITEM-1","issue":"1","issued":{"date-parts":[["2005"]]},"page":"25-30","title":"Psychometric properties of the Dutch BIS/BAS scales","type":"article-journal","volume":"27"},"uris":["http://www.mendeley.com/documents/?uuid=4921cc65-ccaf-4a93-a4bb-7e08a3fdbe9d"]},{"id":"ITEM-2","itemData":{"abstract":"Gray (1981, 1982) holds that 2 general motivational systems underlie behavior and affect: a behav- ioral inhibition system (BIS) and a behavioral activation system (BAS). Self-report scales to assess dispositional BIS and BAS sensitivities were created. Scale development (Study 1) and convergent and discriminant validity in the form of correlations with alternative measures are reported (Study 2). In Study 3, a situation in which Ss anticipated a punishment was created. Controlling for initial nervousness, Ss high in BIS sensitivity (assessed earlier) were more nervous than those low. In Study 4, a situation in which Ss anticipated a reward was created. Controlling for initial happiness, Ss high in BAS sensitivity (Reward Responsiveness and Drive scales) were happier than those low. In each case the new scales predicted better than an alternative measure. Discussion is focused on conceptual implications.","author":[{"dropping-particle":"","family":"White","given":"T.L.","non-dropping-particle":"","parse-names":false,"suffix":""},{"dropping-particle":"","family":"Carver","given":"C.S.","non-dropping-particle":"","parse-names":false,"suffix":""}],"container-title":"Journal of Personality and Social Psychology","id":"ITEM-2","issue":"2","issued":{"date-parts":[["1994"]]},"page":"319-333","title":"Behavioral inhibition, behavioral activation, and affective responses to impending reward and punishment: The BIS/BAS scales.","type":"article-journal","volume":"67"},"uris":["http://www.mendeley.com/documents/?uuid=78a0abfd-b7fb-4884-a87c-4167e67efe5b"]}],"mendeley":{"formattedCitation":"(Franken et al., 2005; White &amp; Carver, 1994)","plainTextFormattedCitation":"(Franken et al., 2005; White &amp; Carver, 1994)","previouslyFormattedCitation":"&lt;sup&gt;61,62&lt;/sup&gt;"},"properties":{"noteIndex":0},"schema":"https://github.com/citation-style-language/schema/raw/master/csl-citation.json"}</w:instrText>
      </w:r>
      <w:r w:rsidRPr="0059396B">
        <w:rPr>
          <w:rFonts w:eastAsia="Calibri"/>
        </w:rPr>
        <w:fldChar w:fldCharType="separate"/>
      </w:r>
      <w:r w:rsidRPr="0059396B">
        <w:rPr>
          <w:rFonts w:eastAsia="Calibri"/>
          <w:noProof/>
        </w:rPr>
        <w:t>(Franken et al., 2005; White &amp; Carver, 1994)</w:t>
      </w:r>
      <w:r w:rsidRPr="0059396B">
        <w:rPr>
          <w:rFonts w:eastAsia="Calibri"/>
        </w:rPr>
        <w:fldChar w:fldCharType="end"/>
      </w:r>
      <w:r w:rsidRPr="0059396B">
        <w:rPr>
          <w:rFonts w:eastAsia="Calibri"/>
        </w:rPr>
        <w:t>, Distress Tolerance Scale (DTS)</w:t>
      </w:r>
      <w:r w:rsidRPr="0059396B">
        <w:rPr>
          <w:rFonts w:eastAsia="Calibri"/>
        </w:rPr>
        <w:fldChar w:fldCharType="begin" w:fldLock="1"/>
      </w:r>
      <w:r w:rsidRPr="0059396B">
        <w:rPr>
          <w:rFonts w:eastAsia="Calibri"/>
        </w:rPr>
        <w:instrText>ADDIN CSL_CITATION {"citationItems":[{"id":"ITEM-1","itemData":{"DOI":"10.1007/s11031-005-7955-3","ISSN":"01467239","abstract":"This paper presents the development and validation of a self-report measure of emotional distress tolerance. The initial scale was developed in Study 1 (N = 642). The scale evinced expected relations with other measures of affective functioning, supporting its convergent and discriminant validity. Criterion validity was supported by significant negative associations with substance use coping but not enhancement motives. Study 2 (N = 823), extended the results of the initial factor analysis, indicating that the Distress Tolerance Scale (DTS) contains four first-order factors, which are indicators of a single second-order general distress tolerance factor. Study 2 indicated that the DTS was stable over a 6-month interval and the DTS was prospectively associated with alcohol problems among men. In both studies, males reported significantly higher levels of distress tolerance than women. © 2005 Springer Science+Business Media, Inc.","author":[{"dropping-particle":"","family":"Simons","given":"Jeffrey S.","non-dropping-particle":"","parse-names":false,"suffix":""},{"dropping-particle":"","family":"Gaher","given":"Raluca M.","non-dropping-particle":"","parse-names":false,"suffix":""}],"container-title":"Motivation and Emotion","id":"ITEM-1","issue":"2","issued":{"date-parts":[["2005"]]},"page":"83-102","title":"The distress tolerance scale: Development and validation of a self-report measure","type":"article-journal","volume":"29"},"uris":["http://www.mendeley.com/documents/?uuid=7e0febc2-3c08-483b-890b-8c6b541170c0"]}],"mendeley":{"formattedCitation":"(Simons &amp; Gaher, 2005)","plainTextFormattedCitation":"(Simons &amp; Gaher, 2005)","previouslyFormattedCitation":"&lt;sup&gt;63&lt;/sup&gt;"},"properties":{"noteIndex":0},"schema":"https://github.com/citation-style-language/schema/raw/master/csl-citation.json"}</w:instrText>
      </w:r>
      <w:r w:rsidRPr="0059396B">
        <w:rPr>
          <w:rFonts w:eastAsia="Calibri"/>
        </w:rPr>
        <w:fldChar w:fldCharType="separate"/>
      </w:r>
      <w:r w:rsidRPr="0059396B">
        <w:rPr>
          <w:rFonts w:eastAsia="Calibri"/>
          <w:noProof/>
        </w:rPr>
        <w:t>(Simons &amp; Gaher, 2005)</w:t>
      </w:r>
      <w:r w:rsidRPr="0059396B">
        <w:rPr>
          <w:rFonts w:eastAsia="Calibri"/>
        </w:rPr>
        <w:fldChar w:fldCharType="end"/>
      </w:r>
      <w:r w:rsidRPr="0059396B">
        <w:rPr>
          <w:rFonts w:eastAsia="Calibri"/>
        </w:rPr>
        <w:t xml:space="preserve"> and Life Optimism Trait – Revised (LOT-R)</w:t>
      </w:r>
      <w:r w:rsidRPr="0059396B">
        <w:rPr>
          <w:rFonts w:eastAsia="Calibri"/>
        </w:rPr>
        <w:fldChar w:fldCharType="begin" w:fldLock="1"/>
      </w:r>
      <w:r w:rsidRPr="0059396B">
        <w:rPr>
          <w:rFonts w:eastAsia="Calibri"/>
        </w:rPr>
        <w:instrText>ADDIN CSL_CITATION {"citationItems":[{"id":"ITEM-1","itemData":{"DOI":"10.1037/0022-3514.67.6.1063","ISSN":"00223514","PMID":"7815302","abstract":"Research on dispositional optimism as assessed by the Life Orientation Test (Scheier &amp; Carver, 1985) has been challenged on the grounds that effects attributed to optimism are indistinguishable from those of unmeasured third variables, most notably, neuroticism. Data from 4,309 subjects show that associations between optimism and both depression and aspects of coping remain significant even when the effects of neuroticism, as well as the effects of trait anxiety, self-mastery, and self-esteem, are statistically controlled. Thus, the Life Orientation Test does appear to possess adequate predictive and discriminant validity. Examination of the scale on somewhat different grounds, however, does suggest that future applications can benefit from its revision. Thus, we also describe a minor modification to the Life Orientation Test, along with data bearing on the revised scale's psychometric properties.","author":[{"dropping-particle":"","family":"Scheier","given":"Michael F.","non-dropping-particle":"","parse-names":false,"suffix":""},{"dropping-particle":"","family":"Carver","given":"Charles S.","non-dropping-particle":"","parse-names":false,"suffix":""},{"dropping-particle":"","family":"Bridges","given":"Michael W.","non-dropping-particle":"","parse-names":false,"suffix":""}],"container-title":"Journal of Personality and Social Psychology","id":"ITEM-1","issue":"6","issued":{"date-parts":[["1994"]]},"page":"1063-1078","title":"Distinguishing Optimism From Neuroticism (and Trait Anxiety, Self-Mastery, and Self-Esteem): A Reevaluation of the Life Orientation Test","type":"article-journal","volume":"67"},"uris":["http://www.mendeley.com/documents/?uuid=7c191720-76fc-43a1-88e7-08b95c3a8f9c"]},{"id":"ITEM-2","itemData":{"DOI":"10.1007/BF03089356","ISSN":"1876-8741","abstract":"Optimism and/or pessimism: Factor structure of the Dutch Life Orientation Test-Revised","author":[{"dropping-particle":"","family":"Klooster","given":"P M ten.","non-dropping-particle":"","parse-names":false,"suffix":""},{"dropp</w:instrText>
      </w:r>
      <w:r w:rsidRPr="00D34A51">
        <w:rPr>
          <w:rFonts w:eastAsia="Calibri"/>
          <w:lang w:val="en-US"/>
        </w:rPr>
        <w:instrText>ing-particle":"","family":"Weekers","given":"A M","non-dropping-particle":"","parse-names":false,"suffix":""},{"dropping-particle":"","family":"Eggelmeijer","given":"F","non-dropping-particle":"","parse-names":false,"suffix":""},{"dropping-particle":"","family":"Woerkom","given":"J M","non-dropping-particle":"van","parse-names":false,"suffix":""},{"dropping-particle":"","family":"Drossaert","given":"C H C M","non-dropping-particle":"","parse-names":false,"suffix":""},{"dropping-particle":"","family":"Taal","given":"E","non-dropping-particle":"","parse-names":false,"suffix":""},{"dropping-particle":"","family":"Rasker","given":"J J","non-dropping-particle":"","parse-names":false,"suffix":""},{"dropping-particle":"","family":"Baneke","given":"J J","non-dropping-particle":"","parse-names":false,"suffix":""}],"container-title":"Psychologie en Gezondheid","id":"ITEM-2","issue":"2","issued":{"date-parts":[["2010"]]},"page":"89-100","title":"Optimisme en/of pessimisme: factorstructuur van de Nederlandse Life Orientation Test-Revised","type":"article-journal","volume":"38"},"uris":["http://www.mendeley.com/documents/?uuid=bafd8061-fad8-430e-a98d-cd9aa9e707a9"]}],"mendeley":{"formattedCitation":"(Klooster et al., 2010; Scheier et al., 1994)","plainTextFormattedCitation":"(Klooster et al., 2010; Scheier et al., 1994)","previouslyFormattedCitation":"&lt;sup&gt;64,65&lt;/sup&gt;"},"properties":{"noteIndex":0},"schema":"https://github.com/citation-style-language/schema/raw/master/csl-citation.json"}</w:instrText>
      </w:r>
      <w:r w:rsidRPr="0059396B">
        <w:rPr>
          <w:rFonts w:eastAsia="Calibri"/>
        </w:rPr>
        <w:fldChar w:fldCharType="separate"/>
      </w:r>
      <w:r w:rsidRPr="00D34A51">
        <w:rPr>
          <w:rFonts w:eastAsia="Calibri"/>
          <w:noProof/>
          <w:lang w:val="en-US"/>
        </w:rPr>
        <w:t>(Klooster et al., 2010; Scheier et al., 1994)</w:t>
      </w:r>
      <w:r w:rsidRPr="0059396B">
        <w:rPr>
          <w:rFonts w:eastAsia="Calibri"/>
        </w:rPr>
        <w:fldChar w:fldCharType="end"/>
      </w:r>
      <w:r w:rsidRPr="00D34A51">
        <w:rPr>
          <w:rFonts w:eastAsia="Calibri"/>
          <w:lang w:val="en-US"/>
        </w:rPr>
        <w:t>, the Anxiety Sensitivity Index (ASI)</w:t>
      </w:r>
      <w:r w:rsidRPr="0059396B">
        <w:rPr>
          <w:rFonts w:eastAsia="Calibri"/>
        </w:rPr>
        <w:fldChar w:fldCharType="begin" w:fldLock="1"/>
      </w:r>
      <w:r w:rsidRPr="00D34A51">
        <w:rPr>
          <w:rFonts w:eastAsia="Calibri"/>
          <w:lang w:val="en-US"/>
        </w:rPr>
        <w:instrText>ADDIN CSL_CITATION {"citationItems":[{"id":"ITEM-1","itemData":{"DOI":"10.1037/1040-3590.19.2.176","ISSN":"10403590","PMID":"17563199","abstract":"Accumulating evidence suggests that anxiety sensitivity (fear of arousal-related sensations) plays an important role in many clinical conditions, particularly anxiety disorders. Research has increasingly focused on how the basic dimensions of anxiety sensitivity are related to various forms of psychopathology. Such work has been hampered because the original measure-the Anxiety Sensitivity Index (ASI)-was not designed to be multidimensional. Subsequently developed multidimensional measures have unstable factor structures or measure only a subset of the most widely replicated factors. Therefore, the authors developed, via factor analysis of responses from U.S. and Canadian nonclinical participants (n = 2,361), an 18-item measure, the ASI-3, which assesses the 3 factors best replicated in previous research: Physical, Cognitive, and Social Concerns. Factorial validity of the ASI-3 was supported by confirmatory factor analyses of 6 replication samples, including nonclinical samples from the United States and Canada, France, Mexico, the Netherlands, and Spain (n = 4,494) and a clinical sample from the United States and Canada (n = 390). The ASI-3 displayed generally good performance on other indices of reliability and validity, along with evidence of imp</w:instrText>
      </w:r>
      <w:r w:rsidRPr="0059396B">
        <w:rPr>
          <w:rFonts w:eastAsia="Calibri"/>
        </w:rPr>
        <w:instrText>roved psychometric properties over the original ASI. © 2007 American Psychological Association.","author":[{"dropping-particle":"","family":"Taylor","given":"Steven","non-dropping-particle":"","parse-names":false,"suffix":""},{"dropping-particle":"","family":"Zvolensky","given":"Michael J.","non-dropping-particle":"","parse-names":false,"suffix":""},{"dropping-particle":"","family":"Cox","given":"Brian J.","non-dropping-particle":"","parse-names":false,"suffix":""},{"dropping-particle":"","family":"Deacon","given":"Brett","non-dropping-particle":"","parse-names":false,"suffix":""},{"dropping-particle":"","family":"Heimberg","given":"Richard G.","non-dropping-particle":"","parse-names":false,"suffix":""},{"dropping-particle":"","family":"Ledley","given":"Deborah Roth","non-dropping-particle":"","parse-names":false,"suffix":""},{"dropping-particle":"","family":"Abramowitz","given":"Jonathan S.","non-dropping-particle":"","parse-names":false,"suffix":""},{"dropping-particle":"","family":"Holaway","given":"Robert M.","non-dropping-particle":"","parse-names":false,"suffix":""},{"dropping-particle":"","family":"Sandin","given":"Bonifacio","non-dropping-particle":"","parse-names":false,"suffix":""},{"dropping-particle":"","family":"Stewart","given":"Sherry H.","non-dropping-particle":"","parse-names":false,"suffix":""},{"dropping-particle":"","family":"Coles","given":"Meredith","non-dropping-particle":"","parse-names":false,"suffix":""},{"dropping-particle":"","family":"Eng","given":"Winnie","non-dropping-particle":"","parse-names":false,"suffix":""},{"dropping-particle":"","family":"Daly","given":"Erin S.","non-dropping-particle":"","parse-names":false,"suffix":""},{"dropping-particle":"","family":"Arrindell","given":"Willem A.","non-dropping-particle":"","parse-names":false,"suffix":""},{"dropping-particle":"","family":"Bouvard","given":"Martine","non-dropping-particle":"","parse-names":false,"suffix":""},{"dropping-particle":"","family":"Cardenas","given":"Samuel Jurado","non-dropping-particle":"","parse-names":false,"suffix":""}],"container-title":"Psychological Assessment","id":"ITEM-1","issue":"2","issued":{"date-parts":[["2007"]]},"page":"176-188","title":"Robust Dimensions of Anxiety Sensitivity: Development and Initial Validation of the Anxiety Sensitivity Index-3","type":"article-journal","volume":"19"},"uris":["http://www.mendeley.com/documents/?uuid=a58d3f88-7209-4e4e-af96-06c6e9725c4e"]}],"mendeley":{"formattedCitation":"(Taylor et al., 2007)","plainTextFormattedCitation":"(Taylor et al., 2007)","previouslyFormattedCitation":"&lt;sup&gt;66&lt;/sup&gt;"},"properties":{"noteIndex":0},"schema":"https://github.com/citation-style-language/schema/raw/master/csl-citation.json"}</w:instrText>
      </w:r>
      <w:r w:rsidRPr="0059396B">
        <w:rPr>
          <w:rFonts w:eastAsia="Calibri"/>
        </w:rPr>
        <w:fldChar w:fldCharType="separate"/>
      </w:r>
      <w:r w:rsidRPr="0059396B">
        <w:rPr>
          <w:rFonts w:eastAsia="Calibri"/>
          <w:noProof/>
        </w:rPr>
        <w:t>(Taylor et al., 2007)</w:t>
      </w:r>
      <w:r w:rsidRPr="0059396B">
        <w:rPr>
          <w:rFonts w:eastAsia="Calibri"/>
        </w:rPr>
        <w:fldChar w:fldCharType="end"/>
      </w:r>
      <w:r w:rsidRPr="0059396B">
        <w:rPr>
          <w:rFonts w:eastAsia="Calibri"/>
        </w:rPr>
        <w:t>, and the Pain Catastrophizing Scale (PCS)</w:t>
      </w:r>
      <w:r w:rsidRPr="0059396B">
        <w:rPr>
          <w:rFonts w:eastAsia="Calibri"/>
        </w:rPr>
        <w:fldChar w:fldCharType="begin" w:fldLock="1"/>
      </w:r>
      <w:r w:rsidRPr="0059396B">
        <w:rPr>
          <w:rFonts w:eastAsia="Calibri"/>
        </w:rPr>
        <w:instrText>ADDIN CSL_CITATION {"citationItems":[{"id":"ITEM-1","itemData":{"DOI":"https://doi.org/10.1037/1040-3590.7.4.524","ISSN":"1040-3590, 1040-3590","abstract":"In Study I, the Pain Catastrophizing Scale (PCS) was administered to 425 undergraduates. Analyses yielded a three component solution comprising (a) rumination, (b) magnification, and (c) helplessness. In Study 2, 30 undergraduate participants were classified as catastrophizers ( n = 15) or noncatastrophizers ( n = 15) on the basis of their PCS scores and participated in a cold pressor procedure. Catastrophizers reported significantly more negative pain-related thoughts, greater emotional distress, and greater pain intensity than noncatastrophizers. Study 3 examined the relation between PCS scores, negative pain-related thoughts, and distress in 28 individuals undergoing an aversive electrodiagnostic medical procedure. Catastrophizers reported more negative pain-related thoughts, more emotional distress, and more pain than noncatastrophizers. Study 4 examined the relation between the PCS and measures of depression, trait anxiety, negative affectivity, and fear of pain. Analyses revealed moderate correlations among these measures, but only the PCS contributed significant unique variance to the prediction of pain intensity. (PsycInfo Database Record (c) 2022 APA, all rights reserved)","author":[{"dropping-particle":"","family":"Sullivan","given":"Michael J L","non-dropping-particle":"","parse-names":false,"suffix":""},{"dropping-particle":"","family":"Bishop","given":"Scott R","non-dropping-particle":"","parse-names":false,"suffix":""},{"dropping-particle":"","family":"Pivik","given":"Jayne","non-dropping-particle":"","parse-names":false,"suffix":""}],"container-title":"Psychological Assessment","id":"ITEM-1","issue":"4","issued":{"date-parts":[["1995","12"]]},"language":"English","note":"Copyright - © 1995, American Psychological Association</w:instrText>
      </w:r>
      <w:r w:rsidRPr="00D34A51">
        <w:rPr>
          <w:rFonts w:eastAsia="Calibri"/>
          <w:lang w:val="en-US"/>
        </w:rPr>
        <w:instrText>\n\nDate completed - 1995-05-02\n\nDate created - 1994-08-01\n\nDate revised - 19960401; 20060710\n\nNumber of references - 30\n\nLast updated - 2022-12-01\n\nSubjectsTermNotLitGenreText - Cognitions 1772P3A 1802P3A 9564P3A 1753P2C 1783P2C 9467P2C; Pain Perception 6658P3A 6879P3A 8901P3A 9564P3A 6594P2C 6813P2C 8806P2C 9467P2C; Rating Scales 5554P3A 7804P3A 9485P3A 9492P3A 9564P3A 5502P2C 7728P2C 9388P2C 9395P2C 9467P2C; Test Construction 5554P3A 7626P3A 9466P3A 9492P3A 9564P3A 5502P2C 7551P2C 9369P2C 9395P2C 9467P2C; Test Validity 5554P3A 7626P3A 9486P3A 9564P3A 5502P2C 7551P2C 9389P2C 9467P2C; 3029P3A 9096P3A 9564P3A 3002P2C 8999P2C 9467P2C; 2560P3A 5577P3A 9564P3A 2534P2C 5525P2C 9467P2C; 1407P3A 1802P3A 3112P3A 3113P3A 3122P3A 6949P3A 6963P3A 9564P3A 1390P2C 1783P2C 3085P2C 3086P2C 3095P2C 6880P2C 6894P2C 9467P2C","page":"524-532","publisher":"American Psychological Association, American Psychological Association PP  - Washington","publisher-place":"Dalhousie U, Dept of Psychology, Halifax, NS, Canada","title":"The Pain Catastrophizing Scale: Development and validation","type":"article-journal","volume":"7"},"uris":["http://www.mendeley.com/documents/?uuid=665f2124-9bb1-4bc9-9c7a-01d5f43126ad"]}],"mendeley":{"formattedCitation":"(Sullivan et al., 1995)","plainTextFormattedCitation":"(Sullivan et al., 1995)","previouslyFormattedCitation":"&lt;sup&gt;67&lt;/sup&gt;"},"properties":{"noteIndex":0},"schema":"https://github.com/citation-style-language/schema/raw/master/csl-citation.json"}</w:instrText>
      </w:r>
      <w:r w:rsidRPr="0059396B">
        <w:rPr>
          <w:rFonts w:eastAsia="Calibri"/>
        </w:rPr>
        <w:fldChar w:fldCharType="separate"/>
      </w:r>
      <w:r w:rsidRPr="00D34A51">
        <w:rPr>
          <w:rFonts w:eastAsia="Calibri"/>
          <w:noProof/>
          <w:lang w:val="en-US"/>
        </w:rPr>
        <w:t>(Sullivan et al., 1995)</w:t>
      </w:r>
      <w:r w:rsidRPr="0059396B">
        <w:rPr>
          <w:rFonts w:eastAsia="Calibri"/>
        </w:rPr>
        <w:fldChar w:fldCharType="end"/>
      </w:r>
      <w:r w:rsidRPr="00D34A51">
        <w:rPr>
          <w:rFonts w:eastAsia="Calibri"/>
          <w:lang w:val="en-US"/>
        </w:rPr>
        <w:t xml:space="preserve">. </w:t>
      </w:r>
      <w:r w:rsidRPr="00D34A51">
        <w:rPr>
          <w:rFonts w:eastAsia="Calibri"/>
          <w:i/>
          <w:iCs/>
          <w:lang w:val="en-US"/>
        </w:rPr>
        <w:t>N</w:t>
      </w:r>
      <w:r w:rsidRPr="00D34A51">
        <w:rPr>
          <w:rFonts w:eastAsia="Calibri"/>
          <w:lang w:val="en-US"/>
        </w:rPr>
        <w:t xml:space="preserve"> represents number of participants that completed the questionnaire and that was used to calculate the summary statistics.</w:t>
      </w:r>
    </w:p>
    <w:p w14:paraId="5C04BE1F" w14:textId="7547C28E" w:rsidR="00BA1920" w:rsidRPr="003D50AB" w:rsidRDefault="00BA1920" w:rsidP="00D34A51">
      <w:pPr>
        <w:jc w:val="both"/>
        <w:rPr>
          <w:rFonts w:eastAsia="Calibri"/>
        </w:rPr>
      </w:pPr>
      <w:r w:rsidRPr="003D50AB">
        <w:rPr>
          <w:rFonts w:eastAsia="Calibri"/>
        </w:rPr>
        <w:lastRenderedPageBreak/>
        <w:t xml:space="preserve">References </w:t>
      </w:r>
    </w:p>
    <w:p w14:paraId="3F59FCFE" w14:textId="77777777" w:rsidR="00E04C68" w:rsidRPr="0059396B" w:rsidRDefault="00E04C68" w:rsidP="00E04C68">
      <w:pPr>
        <w:widowControl w:val="0"/>
        <w:autoSpaceDE w:val="0"/>
        <w:autoSpaceDN w:val="0"/>
        <w:adjustRightInd w:val="0"/>
        <w:ind w:left="480" w:hanging="480"/>
        <w:rPr>
          <w:rFonts w:eastAsia="Calibri"/>
          <w:noProof/>
        </w:rPr>
      </w:pPr>
      <w:r w:rsidRPr="0059396B">
        <w:rPr>
          <w:rFonts w:eastAsia="Calibri"/>
          <w:noProof/>
        </w:rPr>
        <w:t xml:space="preserve">De Beurs, E., &amp; Van Dyck, R. (2001). De DASS: een vragenlijst voor het meten van depressie, angst en stress. </w:t>
      </w:r>
      <w:r w:rsidRPr="0059396B">
        <w:rPr>
          <w:rFonts w:eastAsia="Calibri"/>
          <w:i/>
          <w:iCs/>
          <w:noProof/>
        </w:rPr>
        <w:t>Gedragstherapie</w:t>
      </w:r>
      <w:r w:rsidRPr="0059396B">
        <w:rPr>
          <w:rFonts w:ascii="Arial" w:eastAsia="Calibri" w:hAnsi="Arial" w:cs="Arial"/>
          <w:i/>
          <w:iCs/>
          <w:noProof/>
        </w:rPr>
        <w:t> </w:t>
      </w:r>
      <w:r w:rsidRPr="0059396B">
        <w:rPr>
          <w:rFonts w:eastAsia="Calibri"/>
          <w:i/>
          <w:iCs/>
          <w:noProof/>
        </w:rPr>
        <w:t>: Tijdschrift Voor Gedragstherapie En Cognitieve Therapie.</w:t>
      </w:r>
      <w:r w:rsidRPr="0059396B">
        <w:rPr>
          <w:rFonts w:eastAsia="Calibri"/>
          <w:noProof/>
        </w:rPr>
        <w:t xml:space="preserve">, </w:t>
      </w:r>
      <w:r w:rsidRPr="0059396B">
        <w:rPr>
          <w:rFonts w:eastAsia="Calibri"/>
          <w:i/>
          <w:iCs/>
          <w:noProof/>
        </w:rPr>
        <w:t>34</w:t>
      </w:r>
      <w:r w:rsidRPr="0059396B">
        <w:rPr>
          <w:rFonts w:eastAsia="Calibri"/>
          <w:noProof/>
        </w:rPr>
        <w:t>, 35–53.</w:t>
      </w:r>
    </w:p>
    <w:p w14:paraId="7A4B7955" w14:textId="77777777" w:rsidR="00E04C68" w:rsidRPr="0059396B" w:rsidRDefault="00E04C68" w:rsidP="00E04C68">
      <w:pPr>
        <w:widowControl w:val="0"/>
        <w:autoSpaceDE w:val="0"/>
        <w:autoSpaceDN w:val="0"/>
        <w:adjustRightInd w:val="0"/>
        <w:ind w:left="480" w:hanging="480"/>
        <w:rPr>
          <w:rFonts w:eastAsia="Calibri"/>
          <w:noProof/>
        </w:rPr>
      </w:pPr>
      <w:r w:rsidRPr="0059396B">
        <w:rPr>
          <w:rFonts w:eastAsia="Calibri"/>
          <w:noProof/>
        </w:rPr>
        <w:t xml:space="preserve">de Bruin, G. O., Rassin, E., van der Heiden, C., &amp; Muris, P. (2006). </w:t>
      </w:r>
      <w:r w:rsidRPr="00E04C68">
        <w:rPr>
          <w:rFonts w:eastAsia="Calibri"/>
          <w:noProof/>
          <w:lang w:val="en-US"/>
        </w:rPr>
        <w:t xml:space="preserve">Psychometric properties of a Dutch version of the Intolerance of Uncertainty Scale. </w:t>
      </w:r>
      <w:r w:rsidRPr="0059396B">
        <w:rPr>
          <w:rFonts w:eastAsia="Calibri"/>
          <w:i/>
          <w:iCs/>
          <w:noProof/>
        </w:rPr>
        <w:t>Netherlands Journal of Psychology</w:t>
      </w:r>
      <w:r w:rsidRPr="0059396B">
        <w:rPr>
          <w:rFonts w:eastAsia="Calibri"/>
          <w:noProof/>
        </w:rPr>
        <w:t xml:space="preserve">, </w:t>
      </w:r>
      <w:r w:rsidRPr="0059396B">
        <w:rPr>
          <w:rFonts w:eastAsia="Calibri"/>
          <w:i/>
          <w:iCs/>
          <w:noProof/>
        </w:rPr>
        <w:t>62</w:t>
      </w:r>
      <w:r w:rsidRPr="0059396B">
        <w:rPr>
          <w:rFonts w:eastAsia="Calibri"/>
          <w:noProof/>
        </w:rPr>
        <w:t>(2), 87–92. https://doi.org/10.1007/BF03061055</w:t>
      </w:r>
    </w:p>
    <w:p w14:paraId="3C7AA2A6" w14:textId="77777777" w:rsidR="00E04C68" w:rsidRPr="0059396B" w:rsidRDefault="00E04C68" w:rsidP="00E04C68">
      <w:pPr>
        <w:widowControl w:val="0"/>
        <w:autoSpaceDE w:val="0"/>
        <w:autoSpaceDN w:val="0"/>
        <w:adjustRightInd w:val="0"/>
        <w:ind w:left="480" w:hanging="480"/>
        <w:rPr>
          <w:rFonts w:eastAsia="Calibri"/>
          <w:noProof/>
        </w:rPr>
      </w:pPr>
      <w:r w:rsidRPr="0059396B">
        <w:rPr>
          <w:rFonts w:eastAsia="Calibri"/>
          <w:noProof/>
        </w:rPr>
        <w:t xml:space="preserve">Engelen, U., De Peuter, S., Victoir, A., Van Diest, I., &amp; Van den Bergh, O. (2006). Verdere validering van de positive and negative affect schedule (PANAS) en vergelijking van twee Nederlandstalige versies. </w:t>
      </w:r>
      <w:r w:rsidRPr="0059396B">
        <w:rPr>
          <w:rFonts w:eastAsia="Calibri"/>
          <w:i/>
          <w:iCs/>
          <w:noProof/>
        </w:rPr>
        <w:t>Gedrag En Gezondheid</w:t>
      </w:r>
      <w:r w:rsidRPr="0059396B">
        <w:rPr>
          <w:rFonts w:eastAsia="Calibri"/>
          <w:noProof/>
        </w:rPr>
        <w:t xml:space="preserve">, </w:t>
      </w:r>
      <w:r w:rsidRPr="0059396B">
        <w:rPr>
          <w:rFonts w:eastAsia="Calibri"/>
          <w:i/>
          <w:iCs/>
          <w:noProof/>
        </w:rPr>
        <w:t>34</w:t>
      </w:r>
      <w:r w:rsidRPr="0059396B">
        <w:rPr>
          <w:rFonts w:eastAsia="Calibri"/>
          <w:noProof/>
        </w:rPr>
        <w:t>(2), 89–102.</w:t>
      </w:r>
    </w:p>
    <w:p w14:paraId="04DD6E52" w14:textId="77777777" w:rsidR="0066245F" w:rsidRPr="0066245F" w:rsidRDefault="0066245F" w:rsidP="0066245F">
      <w:pPr>
        <w:widowControl w:val="0"/>
        <w:autoSpaceDE w:val="0"/>
        <w:autoSpaceDN w:val="0"/>
        <w:adjustRightInd w:val="0"/>
        <w:ind w:left="480" w:hanging="480"/>
        <w:rPr>
          <w:rFonts w:eastAsia="Calibri"/>
          <w:noProof/>
          <w:lang w:val="en-US"/>
        </w:rPr>
      </w:pPr>
      <w:r w:rsidRPr="005C3D0D">
        <w:rPr>
          <w:rFonts w:eastAsia="Calibri"/>
          <w:noProof/>
        </w:rPr>
        <w:t xml:space="preserve">Franken, I. H. A., Muris, P., &amp; Rassin, E. (2005). </w:t>
      </w:r>
      <w:r w:rsidRPr="0066245F">
        <w:rPr>
          <w:rFonts w:eastAsia="Calibri"/>
          <w:noProof/>
          <w:lang w:val="en-US"/>
        </w:rPr>
        <w:t xml:space="preserve">Psychometric properties of the Dutch BIS/BAS scales. </w:t>
      </w:r>
      <w:r w:rsidRPr="0066245F">
        <w:rPr>
          <w:rFonts w:eastAsia="Calibri"/>
          <w:i/>
          <w:iCs/>
          <w:noProof/>
          <w:lang w:val="en-US"/>
        </w:rPr>
        <w:t>Journal of Psychopathology and Behavioral Assessment</w:t>
      </w:r>
      <w:r w:rsidRPr="0066245F">
        <w:rPr>
          <w:rFonts w:eastAsia="Calibri"/>
          <w:noProof/>
          <w:lang w:val="en-US"/>
        </w:rPr>
        <w:t xml:space="preserve">, </w:t>
      </w:r>
      <w:r w:rsidRPr="0066245F">
        <w:rPr>
          <w:rFonts w:eastAsia="Calibri"/>
          <w:i/>
          <w:iCs/>
          <w:noProof/>
          <w:lang w:val="en-US"/>
        </w:rPr>
        <w:t>27</w:t>
      </w:r>
      <w:r w:rsidRPr="0066245F">
        <w:rPr>
          <w:rFonts w:eastAsia="Calibri"/>
          <w:noProof/>
          <w:lang w:val="en-US"/>
        </w:rPr>
        <w:t>(1), 25–30. https://doi.org/10.1007/s10862-005-3262-2</w:t>
      </w:r>
    </w:p>
    <w:p w14:paraId="40AC26DE" w14:textId="77777777" w:rsidR="0039119C" w:rsidRPr="00712B47" w:rsidRDefault="0039119C" w:rsidP="0039119C">
      <w:pPr>
        <w:widowControl w:val="0"/>
        <w:autoSpaceDE w:val="0"/>
        <w:autoSpaceDN w:val="0"/>
        <w:adjustRightInd w:val="0"/>
        <w:ind w:left="480" w:hanging="480"/>
        <w:rPr>
          <w:rFonts w:eastAsia="Calibri"/>
          <w:noProof/>
          <w:lang w:val="en-US"/>
        </w:rPr>
      </w:pPr>
      <w:r w:rsidRPr="0039119C">
        <w:rPr>
          <w:rFonts w:eastAsia="Calibri"/>
          <w:noProof/>
          <w:lang w:val="en-US"/>
        </w:rPr>
        <w:t xml:space="preserve">Freeston, M. H., Rhéaume, J., Letarte, H., Dugas, M. J., &amp; Ladouceur, R. (1994). Why do people worry? </w:t>
      </w:r>
      <w:r w:rsidRPr="00712B47">
        <w:rPr>
          <w:rFonts w:eastAsia="Calibri"/>
          <w:i/>
          <w:iCs/>
          <w:noProof/>
          <w:lang w:val="en-US"/>
        </w:rPr>
        <w:t>Personality and Individual Differences</w:t>
      </w:r>
      <w:r w:rsidRPr="00712B47">
        <w:rPr>
          <w:rFonts w:eastAsia="Calibri"/>
          <w:noProof/>
          <w:lang w:val="en-US"/>
        </w:rPr>
        <w:t xml:space="preserve">, </w:t>
      </w:r>
      <w:r w:rsidRPr="00712B47">
        <w:rPr>
          <w:rFonts w:eastAsia="Calibri"/>
          <w:i/>
          <w:iCs/>
          <w:noProof/>
          <w:lang w:val="en-US"/>
        </w:rPr>
        <w:t>17</w:t>
      </w:r>
      <w:r w:rsidRPr="00712B47">
        <w:rPr>
          <w:rFonts w:eastAsia="Calibri"/>
          <w:noProof/>
          <w:lang w:val="en-US"/>
        </w:rPr>
        <w:t>(6), 791–802. https://doi.org/10.1016/0191-8869(94)90048-5</w:t>
      </w:r>
    </w:p>
    <w:p w14:paraId="4A2D4C4D" w14:textId="77777777" w:rsidR="00712B47" w:rsidRPr="0059396B" w:rsidRDefault="00712B47" w:rsidP="00712B47">
      <w:pPr>
        <w:widowControl w:val="0"/>
        <w:autoSpaceDE w:val="0"/>
        <w:autoSpaceDN w:val="0"/>
        <w:adjustRightInd w:val="0"/>
        <w:ind w:left="480" w:hanging="480"/>
        <w:rPr>
          <w:rFonts w:eastAsia="Calibri"/>
          <w:noProof/>
        </w:rPr>
      </w:pPr>
      <w:r w:rsidRPr="00712B47">
        <w:rPr>
          <w:rFonts w:eastAsia="Calibri"/>
          <w:noProof/>
          <w:lang w:val="en-US"/>
        </w:rPr>
        <w:t xml:space="preserve">Klooster, P. M. ten., Weekers, A. M., Eggelmeijer, F., van Woerkom, J. M., Drossaert, C. H. C. M., Taal, E., Rasker, J. J., &amp; Baneke, J. J. (2010). </w:t>
      </w:r>
      <w:r w:rsidRPr="0059396B">
        <w:rPr>
          <w:rFonts w:eastAsia="Calibri"/>
          <w:noProof/>
        </w:rPr>
        <w:t xml:space="preserve">Optimisme en/of pessimisme: factorstructuur van de Nederlandse Life Orientation Test-Revised. </w:t>
      </w:r>
      <w:r w:rsidRPr="0059396B">
        <w:rPr>
          <w:rFonts w:eastAsia="Calibri"/>
          <w:i/>
          <w:iCs/>
          <w:noProof/>
        </w:rPr>
        <w:t>Psychologie En Gezondheid</w:t>
      </w:r>
      <w:r w:rsidRPr="0059396B">
        <w:rPr>
          <w:rFonts w:eastAsia="Calibri"/>
          <w:noProof/>
        </w:rPr>
        <w:t xml:space="preserve">, </w:t>
      </w:r>
      <w:r w:rsidRPr="0059396B">
        <w:rPr>
          <w:rFonts w:eastAsia="Calibri"/>
          <w:i/>
          <w:iCs/>
          <w:noProof/>
        </w:rPr>
        <w:t>38</w:t>
      </w:r>
      <w:r w:rsidRPr="0059396B">
        <w:rPr>
          <w:rFonts w:eastAsia="Calibri"/>
          <w:noProof/>
        </w:rPr>
        <w:t>(2), 89–100. https://doi.org/10.1007/BF03089356</w:t>
      </w:r>
    </w:p>
    <w:p w14:paraId="4A267ECF" w14:textId="77777777" w:rsidR="00952D0D" w:rsidRPr="00952D0D" w:rsidRDefault="00952D0D" w:rsidP="00952D0D">
      <w:pPr>
        <w:widowControl w:val="0"/>
        <w:autoSpaceDE w:val="0"/>
        <w:autoSpaceDN w:val="0"/>
        <w:adjustRightInd w:val="0"/>
        <w:ind w:left="480" w:hanging="480"/>
        <w:rPr>
          <w:rFonts w:eastAsia="Calibri"/>
          <w:noProof/>
          <w:lang w:val="en-US"/>
        </w:rPr>
      </w:pPr>
      <w:r w:rsidRPr="00952D0D">
        <w:rPr>
          <w:rFonts w:eastAsia="Calibri"/>
          <w:noProof/>
          <w:lang w:val="en-US"/>
        </w:rPr>
        <w:t xml:space="preserve">Lovibond, P. F., &amp; Lovibond, S. H. (1995). The structure of negative emotional states: Comparison of the Depression Anxiety Stress Scales (DASS) with the Beck Depression and Anxiety Inventories. </w:t>
      </w:r>
      <w:r w:rsidRPr="00952D0D">
        <w:rPr>
          <w:rFonts w:eastAsia="Calibri"/>
          <w:i/>
          <w:iCs/>
          <w:noProof/>
          <w:lang w:val="en-US"/>
        </w:rPr>
        <w:t>Behaviour Research and Therapy</w:t>
      </w:r>
      <w:r w:rsidRPr="00952D0D">
        <w:rPr>
          <w:rFonts w:eastAsia="Calibri"/>
          <w:noProof/>
          <w:lang w:val="en-US"/>
        </w:rPr>
        <w:t xml:space="preserve">, </w:t>
      </w:r>
      <w:r w:rsidRPr="00952D0D">
        <w:rPr>
          <w:rFonts w:eastAsia="Calibri"/>
          <w:i/>
          <w:iCs/>
          <w:noProof/>
          <w:lang w:val="en-US"/>
        </w:rPr>
        <w:t>33</w:t>
      </w:r>
      <w:r w:rsidRPr="00952D0D">
        <w:rPr>
          <w:rFonts w:eastAsia="Calibri"/>
          <w:noProof/>
          <w:lang w:val="en-US"/>
        </w:rPr>
        <w:t>(3), 335–343. https://doi.org/https://doi.org/10.1016/0005-7967(94)00075-U</w:t>
      </w:r>
    </w:p>
    <w:p w14:paraId="5A4EC206" w14:textId="77777777" w:rsidR="00DE00DC" w:rsidRPr="00DE00DC" w:rsidRDefault="00DE00DC" w:rsidP="00DE00DC">
      <w:pPr>
        <w:widowControl w:val="0"/>
        <w:autoSpaceDE w:val="0"/>
        <w:autoSpaceDN w:val="0"/>
        <w:adjustRightInd w:val="0"/>
        <w:ind w:left="480" w:hanging="480"/>
        <w:rPr>
          <w:rFonts w:eastAsia="Calibri"/>
          <w:noProof/>
          <w:lang w:val="en-US"/>
        </w:rPr>
      </w:pPr>
      <w:r w:rsidRPr="00DE00DC">
        <w:rPr>
          <w:rFonts w:eastAsia="Calibri"/>
          <w:noProof/>
          <w:lang w:val="en-US"/>
        </w:rPr>
        <w:t xml:space="preserve">Scheier, M. F., Carver, C. S., &amp; Bridges, M. W. (1994). Distinguishing Optimism From Neuroticism (and Trait Anxiety, Self-Mastery, and Self-Esteem): A Reevaluation of the Life Orientation Test. </w:t>
      </w:r>
      <w:r w:rsidRPr="00DE00DC">
        <w:rPr>
          <w:rFonts w:eastAsia="Calibri"/>
          <w:i/>
          <w:iCs/>
          <w:noProof/>
          <w:lang w:val="en-US"/>
        </w:rPr>
        <w:t>Journal of Personality and Social Psychology</w:t>
      </w:r>
      <w:r w:rsidRPr="00DE00DC">
        <w:rPr>
          <w:rFonts w:eastAsia="Calibri"/>
          <w:noProof/>
          <w:lang w:val="en-US"/>
        </w:rPr>
        <w:t xml:space="preserve">, </w:t>
      </w:r>
      <w:r w:rsidRPr="00DE00DC">
        <w:rPr>
          <w:rFonts w:eastAsia="Calibri"/>
          <w:i/>
          <w:iCs/>
          <w:noProof/>
          <w:lang w:val="en-US"/>
        </w:rPr>
        <w:t>67</w:t>
      </w:r>
      <w:r w:rsidRPr="00DE00DC">
        <w:rPr>
          <w:rFonts w:eastAsia="Calibri"/>
          <w:noProof/>
          <w:lang w:val="en-US"/>
        </w:rPr>
        <w:t>(6), 1063–1078. https://doi.org/10.1037/0022-3514.67.6.1063</w:t>
      </w:r>
    </w:p>
    <w:p w14:paraId="1A764363" w14:textId="77777777" w:rsidR="00DE00DC" w:rsidRPr="00DE00DC" w:rsidRDefault="00DE00DC" w:rsidP="00DE00DC">
      <w:pPr>
        <w:widowControl w:val="0"/>
        <w:autoSpaceDE w:val="0"/>
        <w:autoSpaceDN w:val="0"/>
        <w:adjustRightInd w:val="0"/>
        <w:ind w:left="480" w:hanging="480"/>
        <w:rPr>
          <w:rFonts w:eastAsia="Calibri"/>
          <w:noProof/>
          <w:lang w:val="en-US"/>
        </w:rPr>
      </w:pPr>
      <w:r w:rsidRPr="00DE00DC">
        <w:rPr>
          <w:rFonts w:eastAsia="Calibri"/>
          <w:noProof/>
          <w:lang w:val="en-US"/>
        </w:rPr>
        <w:t xml:space="preserve">Simons, J. S., &amp; Gaher, R. M. (2005). The distress tolerance scale: Development and validation of a self-report measure. </w:t>
      </w:r>
      <w:r w:rsidRPr="00DE00DC">
        <w:rPr>
          <w:rFonts w:eastAsia="Calibri"/>
          <w:i/>
          <w:iCs/>
          <w:noProof/>
          <w:lang w:val="en-US"/>
        </w:rPr>
        <w:t>Motivation and Emotion</w:t>
      </w:r>
      <w:r w:rsidRPr="00DE00DC">
        <w:rPr>
          <w:rFonts w:eastAsia="Calibri"/>
          <w:noProof/>
          <w:lang w:val="en-US"/>
        </w:rPr>
        <w:t xml:space="preserve">, </w:t>
      </w:r>
      <w:r w:rsidRPr="00DE00DC">
        <w:rPr>
          <w:rFonts w:eastAsia="Calibri"/>
          <w:i/>
          <w:iCs/>
          <w:noProof/>
          <w:lang w:val="en-US"/>
        </w:rPr>
        <w:t>29</w:t>
      </w:r>
      <w:r w:rsidRPr="00DE00DC">
        <w:rPr>
          <w:rFonts w:eastAsia="Calibri"/>
          <w:noProof/>
          <w:lang w:val="en-US"/>
        </w:rPr>
        <w:t>(2), 83–102. https://doi.org/10.1007/s11031-005-7955-3</w:t>
      </w:r>
    </w:p>
    <w:p w14:paraId="4603F353" w14:textId="77777777" w:rsidR="00DE00DC" w:rsidRPr="00DE00DC" w:rsidRDefault="00DE00DC" w:rsidP="00DE00DC">
      <w:pPr>
        <w:widowControl w:val="0"/>
        <w:autoSpaceDE w:val="0"/>
        <w:autoSpaceDN w:val="0"/>
        <w:adjustRightInd w:val="0"/>
        <w:ind w:left="480" w:hanging="480"/>
        <w:rPr>
          <w:rFonts w:eastAsia="Calibri"/>
          <w:noProof/>
          <w:lang w:val="en-US"/>
        </w:rPr>
      </w:pPr>
      <w:r w:rsidRPr="00DE00DC">
        <w:rPr>
          <w:rFonts w:eastAsia="Calibri"/>
          <w:noProof/>
          <w:lang w:val="en-US"/>
        </w:rPr>
        <w:t xml:space="preserve">Spielberger, C., Gorsuch, R., Lushene, R., Vagg, P. R., &amp; Jacobs, G. (1983). Manual for the State-Trait Anxiety Inventory (Form Y1 – Y2). In </w:t>
      </w:r>
      <w:r w:rsidRPr="00DE00DC">
        <w:rPr>
          <w:rFonts w:eastAsia="Calibri"/>
          <w:i/>
          <w:iCs/>
          <w:noProof/>
          <w:lang w:val="en-US"/>
        </w:rPr>
        <w:t>Palo Alto, CA: Consulting Psychologists Press; Vol. IV</w:t>
      </w:r>
      <w:r w:rsidRPr="00DE00DC">
        <w:rPr>
          <w:rFonts w:eastAsia="Calibri"/>
          <w:noProof/>
          <w:lang w:val="en-US"/>
        </w:rPr>
        <w:t>.</w:t>
      </w:r>
    </w:p>
    <w:p w14:paraId="209A8022" w14:textId="77777777" w:rsidR="00DE00DC" w:rsidRPr="00DE00DC" w:rsidRDefault="00DE00DC" w:rsidP="00DE00DC">
      <w:pPr>
        <w:widowControl w:val="0"/>
        <w:autoSpaceDE w:val="0"/>
        <w:autoSpaceDN w:val="0"/>
        <w:adjustRightInd w:val="0"/>
        <w:ind w:left="480" w:hanging="480"/>
        <w:rPr>
          <w:rFonts w:eastAsia="Calibri"/>
          <w:noProof/>
          <w:lang w:val="en-US"/>
        </w:rPr>
      </w:pPr>
      <w:r w:rsidRPr="00DE00DC">
        <w:rPr>
          <w:rFonts w:eastAsia="Calibri"/>
          <w:noProof/>
          <w:lang w:val="en-US"/>
        </w:rPr>
        <w:t xml:space="preserve">Sullivan, M. J. L., Bishop, S. R., &amp; Pivik, J. (1995). The Pain Catastrophizing Scale: Development and validation. </w:t>
      </w:r>
      <w:r w:rsidRPr="00DE00DC">
        <w:rPr>
          <w:rFonts w:eastAsia="Calibri"/>
          <w:i/>
          <w:iCs/>
          <w:noProof/>
          <w:lang w:val="en-US"/>
        </w:rPr>
        <w:t>Psychological Assessment</w:t>
      </w:r>
      <w:r w:rsidRPr="00DE00DC">
        <w:rPr>
          <w:rFonts w:eastAsia="Calibri"/>
          <w:noProof/>
          <w:lang w:val="en-US"/>
        </w:rPr>
        <w:t xml:space="preserve">, </w:t>
      </w:r>
      <w:r w:rsidRPr="00DE00DC">
        <w:rPr>
          <w:rFonts w:eastAsia="Calibri"/>
          <w:i/>
          <w:iCs/>
          <w:noProof/>
          <w:lang w:val="en-US"/>
        </w:rPr>
        <w:t>7</w:t>
      </w:r>
      <w:r w:rsidRPr="00DE00DC">
        <w:rPr>
          <w:rFonts w:eastAsia="Calibri"/>
          <w:noProof/>
          <w:lang w:val="en-US"/>
        </w:rPr>
        <w:t>(4), 524–532. https://doi.org/https://doi.org/10.1037/1040-3590.7.4.524</w:t>
      </w:r>
    </w:p>
    <w:p w14:paraId="62326F0B" w14:textId="77777777" w:rsidR="00DE00DC" w:rsidRPr="00B9021D" w:rsidRDefault="00DE00DC" w:rsidP="00DE00DC">
      <w:pPr>
        <w:widowControl w:val="0"/>
        <w:autoSpaceDE w:val="0"/>
        <w:autoSpaceDN w:val="0"/>
        <w:adjustRightInd w:val="0"/>
        <w:ind w:left="480" w:hanging="480"/>
        <w:rPr>
          <w:rFonts w:eastAsia="Calibri"/>
          <w:noProof/>
          <w:lang w:val="fr-FR"/>
        </w:rPr>
      </w:pPr>
      <w:r w:rsidRPr="00DE00DC">
        <w:rPr>
          <w:rFonts w:eastAsia="Calibri"/>
          <w:noProof/>
          <w:lang w:val="en-US"/>
        </w:rPr>
        <w:t xml:space="preserve">Taylor, S., Zvolensky, M. J., Cox, B. J., Deacon, B., Heimberg, R. G., Ledley, D. R., Abramowitz, J. S., Holaway, R. M., Sandin, B., Stewart, S. H., Coles, M., Eng, W., Daly, E. S., Arrindell, W. A., Bouvard, M., &amp; Cardenas, S. J. (2007). Robust Dimensions of Anxiety Sensitivity: Development and Initial Validation of the Anxiety Sensitivity Index-3. </w:t>
      </w:r>
      <w:r w:rsidRPr="00B9021D">
        <w:rPr>
          <w:rFonts w:eastAsia="Calibri"/>
          <w:i/>
          <w:iCs/>
          <w:noProof/>
          <w:lang w:val="fr-FR"/>
        </w:rPr>
        <w:t xml:space="preserve">Psychological </w:t>
      </w:r>
      <w:r w:rsidRPr="00B9021D">
        <w:rPr>
          <w:rFonts w:eastAsia="Calibri"/>
          <w:i/>
          <w:iCs/>
          <w:noProof/>
          <w:lang w:val="fr-FR"/>
        </w:rPr>
        <w:lastRenderedPageBreak/>
        <w:t>Assessment</w:t>
      </w:r>
      <w:r w:rsidRPr="00B9021D">
        <w:rPr>
          <w:rFonts w:eastAsia="Calibri"/>
          <w:noProof/>
          <w:lang w:val="fr-FR"/>
        </w:rPr>
        <w:t xml:space="preserve">, </w:t>
      </w:r>
      <w:r w:rsidRPr="00B9021D">
        <w:rPr>
          <w:rFonts w:eastAsia="Calibri"/>
          <w:i/>
          <w:iCs/>
          <w:noProof/>
          <w:lang w:val="fr-FR"/>
        </w:rPr>
        <w:t>19</w:t>
      </w:r>
      <w:r w:rsidRPr="00B9021D">
        <w:rPr>
          <w:rFonts w:eastAsia="Calibri"/>
          <w:noProof/>
          <w:lang w:val="fr-FR"/>
        </w:rPr>
        <w:t>(2), 176–188. https://doi.org/10.1037/1040-3590.19.2.176</w:t>
      </w:r>
    </w:p>
    <w:p w14:paraId="540BC7CA" w14:textId="77777777" w:rsidR="00B9021D" w:rsidRPr="0059396B" w:rsidRDefault="00B9021D" w:rsidP="00B9021D">
      <w:pPr>
        <w:widowControl w:val="0"/>
        <w:autoSpaceDE w:val="0"/>
        <w:autoSpaceDN w:val="0"/>
        <w:adjustRightInd w:val="0"/>
        <w:ind w:left="480" w:hanging="480"/>
        <w:rPr>
          <w:rFonts w:eastAsia="Calibri"/>
          <w:noProof/>
        </w:rPr>
      </w:pPr>
      <w:r w:rsidRPr="00B9021D">
        <w:rPr>
          <w:rFonts w:eastAsia="Calibri"/>
          <w:noProof/>
          <w:lang w:val="fr-FR"/>
        </w:rPr>
        <w:t xml:space="preserve">Van der Ploeg, H. M. (1982). </w:t>
      </w:r>
      <w:r w:rsidRPr="0059396B">
        <w:rPr>
          <w:rFonts w:eastAsia="Calibri"/>
          <w:noProof/>
        </w:rPr>
        <w:t xml:space="preserve">De zelf-beoordelings vragenlijst (STAY-DY). </w:t>
      </w:r>
      <w:r w:rsidRPr="0059396B">
        <w:rPr>
          <w:rFonts w:eastAsia="Calibri"/>
          <w:i/>
          <w:iCs/>
          <w:noProof/>
        </w:rPr>
        <w:t>Tijdschrift Voor Psychiatrie</w:t>
      </w:r>
      <w:r w:rsidRPr="0059396B">
        <w:rPr>
          <w:rFonts w:eastAsia="Calibri"/>
          <w:noProof/>
        </w:rPr>
        <w:t xml:space="preserve">, </w:t>
      </w:r>
      <w:r w:rsidRPr="0059396B">
        <w:rPr>
          <w:rFonts w:eastAsia="Calibri"/>
          <w:i/>
          <w:iCs/>
          <w:noProof/>
        </w:rPr>
        <w:t>24</w:t>
      </w:r>
      <w:r w:rsidRPr="0059396B">
        <w:rPr>
          <w:rFonts w:eastAsia="Calibri"/>
          <w:noProof/>
        </w:rPr>
        <w:t>, 576–588.</w:t>
      </w:r>
    </w:p>
    <w:p w14:paraId="62FC7A7B" w14:textId="77777777" w:rsidR="00B9021D" w:rsidRPr="00B9021D" w:rsidRDefault="00B9021D" w:rsidP="00B9021D">
      <w:pPr>
        <w:widowControl w:val="0"/>
        <w:autoSpaceDE w:val="0"/>
        <w:autoSpaceDN w:val="0"/>
        <w:adjustRightInd w:val="0"/>
        <w:ind w:left="480" w:hanging="480"/>
        <w:rPr>
          <w:rFonts w:eastAsia="Calibri"/>
          <w:noProof/>
          <w:lang w:val="en-US"/>
        </w:rPr>
      </w:pPr>
      <w:r w:rsidRPr="0059396B">
        <w:rPr>
          <w:rFonts w:eastAsia="Calibri"/>
          <w:noProof/>
        </w:rPr>
        <w:t xml:space="preserve">Watson, D., Clark, L. A., &amp; Tellegen, A. (1988). </w:t>
      </w:r>
      <w:r w:rsidRPr="00B9021D">
        <w:rPr>
          <w:rFonts w:eastAsia="Calibri"/>
          <w:noProof/>
          <w:lang w:val="en-US"/>
        </w:rPr>
        <w:t xml:space="preserve">Development and validation of brief measures of positive and negative affect: The PANAS scales. </w:t>
      </w:r>
      <w:r w:rsidRPr="00B9021D">
        <w:rPr>
          <w:rFonts w:eastAsia="Calibri"/>
          <w:i/>
          <w:iCs/>
          <w:noProof/>
          <w:lang w:val="en-US"/>
        </w:rPr>
        <w:t>Journal of Personality and Social Psychology</w:t>
      </w:r>
      <w:r w:rsidRPr="00B9021D">
        <w:rPr>
          <w:rFonts w:eastAsia="Calibri"/>
          <w:noProof/>
          <w:lang w:val="en-US"/>
        </w:rPr>
        <w:t xml:space="preserve">, </w:t>
      </w:r>
      <w:r w:rsidRPr="00B9021D">
        <w:rPr>
          <w:rFonts w:eastAsia="Calibri"/>
          <w:i/>
          <w:iCs/>
          <w:noProof/>
          <w:lang w:val="en-US"/>
        </w:rPr>
        <w:t>54</w:t>
      </w:r>
      <w:r w:rsidRPr="00B9021D">
        <w:rPr>
          <w:rFonts w:eastAsia="Calibri"/>
          <w:noProof/>
          <w:lang w:val="en-US"/>
        </w:rPr>
        <w:t>(6), 1063–1070.</w:t>
      </w:r>
    </w:p>
    <w:p w14:paraId="0AF3A252" w14:textId="77777777" w:rsidR="00B9021D" w:rsidRPr="00B9021D" w:rsidRDefault="00B9021D" w:rsidP="00B9021D">
      <w:pPr>
        <w:widowControl w:val="0"/>
        <w:autoSpaceDE w:val="0"/>
        <w:autoSpaceDN w:val="0"/>
        <w:adjustRightInd w:val="0"/>
        <w:ind w:left="480" w:hanging="480"/>
        <w:rPr>
          <w:rFonts w:eastAsia="Calibri"/>
          <w:noProof/>
          <w:lang w:val="en-US"/>
        </w:rPr>
      </w:pPr>
      <w:r w:rsidRPr="00B9021D">
        <w:rPr>
          <w:rFonts w:eastAsia="Calibri"/>
          <w:noProof/>
          <w:lang w:val="en-US"/>
        </w:rPr>
        <w:t xml:space="preserve">White, T. L., &amp; Carver, C. S. (1994). Behavioral inhibition, behavioral activation, and affective responses to impending reward and punishment: The BIS/BAS scales. </w:t>
      </w:r>
      <w:r w:rsidRPr="00B9021D">
        <w:rPr>
          <w:rFonts w:eastAsia="Calibri"/>
          <w:i/>
          <w:iCs/>
          <w:noProof/>
          <w:lang w:val="en-US"/>
        </w:rPr>
        <w:t>Journal of Personality and Social Psychology</w:t>
      </w:r>
      <w:r w:rsidRPr="00B9021D">
        <w:rPr>
          <w:rFonts w:eastAsia="Calibri"/>
          <w:noProof/>
          <w:lang w:val="en-US"/>
        </w:rPr>
        <w:t xml:space="preserve">, </w:t>
      </w:r>
      <w:r w:rsidRPr="00B9021D">
        <w:rPr>
          <w:rFonts w:eastAsia="Calibri"/>
          <w:i/>
          <w:iCs/>
          <w:noProof/>
          <w:lang w:val="en-US"/>
        </w:rPr>
        <w:t>67</w:t>
      </w:r>
      <w:r w:rsidRPr="00B9021D">
        <w:rPr>
          <w:rFonts w:eastAsia="Calibri"/>
          <w:noProof/>
          <w:lang w:val="en-US"/>
        </w:rPr>
        <w:t>(2), 319–333. http://www.psy.miami.edu/faculty/ccarver/sclBISBAS.html%5Cnhttp://www.scribd.com/doc/8760706/Carver1994?secret_password=zkhvhvj8dknjmpqjutf</w:t>
      </w:r>
    </w:p>
    <w:p w14:paraId="58FCA819" w14:textId="77777777" w:rsidR="00BA1920" w:rsidRPr="00952D0D" w:rsidRDefault="00BA1920" w:rsidP="00D34A51">
      <w:pPr>
        <w:jc w:val="both"/>
        <w:rPr>
          <w:lang w:val="en-US"/>
        </w:rPr>
      </w:pPr>
    </w:p>
    <w:sectPr w:rsidR="00BA1920" w:rsidRPr="00952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D3"/>
    <w:rsid w:val="00233920"/>
    <w:rsid w:val="00386CD3"/>
    <w:rsid w:val="0039119C"/>
    <w:rsid w:val="003D50AB"/>
    <w:rsid w:val="0066245F"/>
    <w:rsid w:val="00712B47"/>
    <w:rsid w:val="00952D0D"/>
    <w:rsid w:val="00971919"/>
    <w:rsid w:val="00AE4979"/>
    <w:rsid w:val="00B52311"/>
    <w:rsid w:val="00B9021D"/>
    <w:rsid w:val="00BA1920"/>
    <w:rsid w:val="00C23396"/>
    <w:rsid w:val="00C86282"/>
    <w:rsid w:val="00D34A51"/>
    <w:rsid w:val="00DE00DC"/>
    <w:rsid w:val="00E04C68"/>
    <w:rsid w:val="00E476D9"/>
    <w:rsid w:val="00E92A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B1FF"/>
  <w15:chartTrackingRefBased/>
  <w15:docId w15:val="{458B8BD6-B006-4F94-89C8-E08C9277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D3"/>
    <w:rPr>
      <w:rFonts w:eastAsiaTheme="majorEastAsia" w:cstheme="majorBidi"/>
      <w:color w:val="272727" w:themeColor="text1" w:themeTint="D8"/>
    </w:rPr>
  </w:style>
  <w:style w:type="paragraph" w:styleId="Title">
    <w:name w:val="Title"/>
    <w:basedOn w:val="Normal"/>
    <w:next w:val="Normal"/>
    <w:link w:val="TitleChar"/>
    <w:uiPriority w:val="10"/>
    <w:qFormat/>
    <w:rsid w:val="0038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D3"/>
    <w:pPr>
      <w:spacing w:before="160"/>
      <w:jc w:val="center"/>
    </w:pPr>
    <w:rPr>
      <w:i/>
      <w:iCs/>
      <w:color w:val="404040" w:themeColor="text1" w:themeTint="BF"/>
    </w:rPr>
  </w:style>
  <w:style w:type="character" w:customStyle="1" w:styleId="QuoteChar">
    <w:name w:val="Quote Char"/>
    <w:basedOn w:val="DefaultParagraphFont"/>
    <w:link w:val="Quote"/>
    <w:uiPriority w:val="29"/>
    <w:rsid w:val="00386CD3"/>
    <w:rPr>
      <w:i/>
      <w:iCs/>
      <w:color w:val="404040" w:themeColor="text1" w:themeTint="BF"/>
    </w:rPr>
  </w:style>
  <w:style w:type="paragraph" w:styleId="ListParagraph">
    <w:name w:val="List Paragraph"/>
    <w:basedOn w:val="Normal"/>
    <w:uiPriority w:val="34"/>
    <w:qFormat/>
    <w:rsid w:val="00386CD3"/>
    <w:pPr>
      <w:ind w:left="720"/>
      <w:contextualSpacing/>
    </w:pPr>
  </w:style>
  <w:style w:type="character" w:styleId="IntenseEmphasis">
    <w:name w:val="Intense Emphasis"/>
    <w:basedOn w:val="DefaultParagraphFont"/>
    <w:uiPriority w:val="21"/>
    <w:qFormat/>
    <w:rsid w:val="00386CD3"/>
    <w:rPr>
      <w:i/>
      <w:iCs/>
      <w:color w:val="0F4761" w:themeColor="accent1" w:themeShade="BF"/>
    </w:rPr>
  </w:style>
  <w:style w:type="paragraph" w:styleId="IntenseQuote">
    <w:name w:val="Intense Quote"/>
    <w:basedOn w:val="Normal"/>
    <w:next w:val="Normal"/>
    <w:link w:val="IntenseQuoteChar"/>
    <w:uiPriority w:val="30"/>
    <w:qFormat/>
    <w:rsid w:val="00386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CD3"/>
    <w:rPr>
      <w:i/>
      <w:iCs/>
      <w:color w:val="0F4761" w:themeColor="accent1" w:themeShade="BF"/>
    </w:rPr>
  </w:style>
  <w:style w:type="character" w:styleId="IntenseReference">
    <w:name w:val="Intense Reference"/>
    <w:basedOn w:val="DefaultParagraphFont"/>
    <w:uiPriority w:val="32"/>
    <w:qFormat/>
    <w:rsid w:val="00386CD3"/>
    <w:rPr>
      <w:b/>
      <w:bCs/>
      <w:smallCaps/>
      <w:color w:val="0F4761" w:themeColor="accent1" w:themeShade="BF"/>
      <w:spacing w:val="5"/>
    </w:rPr>
  </w:style>
  <w:style w:type="table" w:styleId="TableGrid">
    <w:name w:val="Table Grid"/>
    <w:basedOn w:val="TableNormal"/>
    <w:uiPriority w:val="39"/>
    <w:rsid w:val="00D34A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5444</Words>
  <Characters>29946</Characters>
  <Application>Microsoft Office Word</Application>
  <DocSecurity>0</DocSecurity>
  <Lines>249</Lines>
  <Paragraphs>70</Paragraphs>
  <ScaleCrop>false</ScaleCrop>
  <Company>KU Leuven</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Willems</dc:creator>
  <cp:keywords/>
  <dc:description/>
  <cp:lastModifiedBy>Anne Willems</cp:lastModifiedBy>
  <cp:revision>12</cp:revision>
  <dcterms:created xsi:type="dcterms:W3CDTF">2024-12-20T09:35:00Z</dcterms:created>
  <dcterms:modified xsi:type="dcterms:W3CDTF">2025-01-19T14:11:00Z</dcterms:modified>
</cp:coreProperties>
</file>