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249" w:rsidRPr="002846D1" w:rsidRDefault="005E6249" w:rsidP="005E6249">
      <w:pPr>
        <w:rPr>
          <w:rFonts w:cstheme="minorHAnsi"/>
          <w:sz w:val="24"/>
          <w:szCs w:val="24"/>
        </w:rPr>
      </w:pPr>
      <w:r w:rsidRPr="002846D1">
        <w:rPr>
          <w:rFonts w:cstheme="minorHAnsi"/>
          <w:sz w:val="24"/>
          <w:szCs w:val="24"/>
        </w:rPr>
        <w:t>Table S1: Simulation Parameters: Microtubule Assembly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18"/>
        <w:gridCol w:w="2722"/>
        <w:gridCol w:w="1918"/>
        <w:gridCol w:w="2402"/>
      </w:tblGrid>
      <w:tr w:rsidR="005E6249" w:rsidRPr="00F96160" w:rsidTr="00006C86">
        <w:tc>
          <w:tcPr>
            <w:tcW w:w="2318" w:type="dxa"/>
            <w:shd w:val="clear" w:color="auto" w:fill="F2F2F2" w:themeFill="background1" w:themeFillShade="F2"/>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Parameter</w:t>
            </w:r>
          </w:p>
        </w:tc>
        <w:tc>
          <w:tcPr>
            <w:tcW w:w="2722" w:type="dxa"/>
            <w:shd w:val="clear" w:color="auto" w:fill="F2F2F2" w:themeFill="background1" w:themeFillShade="F2"/>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Description</w:t>
            </w:r>
          </w:p>
        </w:tc>
        <w:tc>
          <w:tcPr>
            <w:tcW w:w="1918" w:type="dxa"/>
            <w:shd w:val="clear" w:color="auto" w:fill="F2F2F2" w:themeFill="background1" w:themeFillShade="F2"/>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Value</w:t>
            </w:r>
          </w:p>
        </w:tc>
        <w:tc>
          <w:tcPr>
            <w:tcW w:w="2402" w:type="dxa"/>
            <w:shd w:val="clear" w:color="auto" w:fill="F2F2F2" w:themeFill="background1" w:themeFillShade="F2"/>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Reference</w:t>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[GTP-tub]</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Free GTP-Tubulin concentration</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 xml:space="preserve">3-15 </w:t>
            </w:r>
            <w:proofErr w:type="spellStart"/>
            <w:r w:rsidRPr="005F5DF9">
              <w:rPr>
                <w:rFonts w:cstheme="minorHAnsi"/>
                <w:sz w:val="20"/>
                <w:szCs w:val="20"/>
              </w:rPr>
              <w:t>μM</w:t>
            </w:r>
            <w:proofErr w:type="spellEnd"/>
            <w:r w:rsidRPr="005F5DF9">
              <w:rPr>
                <w:rFonts w:cstheme="minorHAnsi"/>
                <w:sz w:val="20"/>
                <w:szCs w:val="20"/>
              </w:rPr>
              <w:t xml:space="preserve"> </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 xml:space="preserve">Matched to experiments </w:t>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rPr>
            </w:pPr>
            <w:proofErr w:type="spellStart"/>
            <w:r w:rsidRPr="005F5DF9">
              <w:rPr>
                <w:rFonts w:cstheme="minorHAnsi"/>
                <w:i/>
                <w:sz w:val="20"/>
                <w:szCs w:val="20"/>
              </w:rPr>
              <w:t>k</w:t>
            </w:r>
            <w:r w:rsidRPr="005F5DF9">
              <w:rPr>
                <w:rFonts w:cstheme="minorHAnsi"/>
                <w:i/>
                <w:sz w:val="20"/>
                <w:szCs w:val="20"/>
                <w:vertAlign w:val="subscript"/>
              </w:rPr>
              <w:t>on</w:t>
            </w:r>
            <w:proofErr w:type="spellEnd"/>
            <w:r w:rsidRPr="005F5DF9">
              <w:rPr>
                <w:rFonts w:cstheme="minorHAnsi"/>
                <w:i/>
                <w:sz w:val="20"/>
                <w:szCs w:val="20"/>
                <w:vertAlign w:val="subscript"/>
              </w:rPr>
              <w:t>,</w:t>
            </w:r>
            <w:r>
              <w:rPr>
                <w:rFonts w:cstheme="minorHAnsi"/>
                <w:i/>
                <w:sz w:val="20"/>
                <w:szCs w:val="20"/>
                <w:vertAlign w:val="subscript"/>
              </w:rPr>
              <w:t xml:space="preserve"> </w:t>
            </w:r>
            <w:r w:rsidRPr="005F5DF9">
              <w:rPr>
                <w:rFonts w:cstheme="minorHAnsi"/>
                <w:i/>
                <w:sz w:val="20"/>
                <w:szCs w:val="20"/>
                <w:vertAlign w:val="subscript"/>
              </w:rPr>
              <w:t>PF</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 xml:space="preserve">Tubulin on-rate constant </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0.65 µM</w:t>
            </w:r>
            <w:r w:rsidRPr="005F5DF9">
              <w:rPr>
                <w:rFonts w:cstheme="minorHAnsi"/>
                <w:sz w:val="20"/>
                <w:szCs w:val="20"/>
                <w:vertAlign w:val="superscript"/>
              </w:rPr>
              <w:t>-1</w:t>
            </w:r>
            <w:r w:rsidRPr="005F5DF9">
              <w:rPr>
                <w:rFonts w:cstheme="minorHAnsi"/>
                <w:sz w:val="20"/>
                <w:szCs w:val="20"/>
              </w:rPr>
              <w:t xml:space="preserve"> s</w:t>
            </w:r>
            <w:r w:rsidRPr="005F5DF9">
              <w:rPr>
                <w:rFonts w:cstheme="minorHAnsi"/>
                <w:sz w:val="20"/>
                <w:szCs w:val="20"/>
                <w:vertAlign w:val="superscript"/>
              </w:rPr>
              <w:t>-1</w:t>
            </w:r>
            <w:r w:rsidRPr="005F5DF9">
              <w:rPr>
                <w:rFonts w:cstheme="minorHAnsi"/>
                <w:sz w:val="20"/>
                <w:szCs w:val="20"/>
              </w:rPr>
              <w:t xml:space="preserve"> pf</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{"citationID":"5fzgr7Oq","properties":{"formattedCitation":"(Margolin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r w:rsidRPr="005F5DF9">
              <w:rPr>
                <w:rFonts w:cstheme="minorHAnsi"/>
                <w:sz w:val="20"/>
                <w:szCs w:val="20"/>
              </w:rPr>
              <w:t xml:space="preserve">, lowered to match experimental growth rates </w:t>
            </w:r>
            <w:r w:rsidRPr="005F5DF9">
              <w:rPr>
                <w:rFonts w:cstheme="minorHAnsi"/>
                <w:sz w:val="20"/>
                <w:szCs w:val="20"/>
              </w:rPr>
              <w:fldChar w:fldCharType="begin"/>
            </w:r>
            <w:r>
              <w:rPr>
                <w:rFonts w:cstheme="minorHAnsi"/>
                <w:sz w:val="20"/>
                <w:szCs w:val="20"/>
              </w:rPr>
              <w:instrText xml:space="preserve"> ADDIN ZOTERO_ITEM CSL_CITATION {"citationID":"smw5N4yC","properties":{"formattedCitation":"(Roth et al., 2019)","plainCitation":"(Roth et al., 2019)","noteIndex":0},"citationItems":[{"id":"MyMROoSN/5QR43qI4","uris":["http://zotero.org/users/local/VgFminvw/items/M2T63MRE"],"itemData":{"id":"MB5MT8Jr/DBc3OIY3","type":"article-journal","title":"Spatial positioning of EB family proteins at microtubule tips involves distinct nucleotide-dependent binding properties","container-title":"Journal of Cell Science","page":"jcs219550","volume":"132","issue":"4","source":"DOI.org (Crossref)","DOI":"10.1242/jcs.219550","ISSN":"0021-9533, 1477-9137","journalAbbreviation":"J Cell Sci","language":"en","author":[{"family":"Roth","given":"Daniel"},{"family":"Fitton","given":"Benjamin P."},{"family":"Chmel","given":"Nikola P."},{"family":"Wasiluk","given":"Natalia"},{"family":"Straube","given":"Anne"}],"issued":{"date-parts":[["2019",2,15]]}}}],"schema":"https://github.com/citation-style-language/schema/raw/master/csl-citation.json"}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(Roth et al., 2019)</w:t>
            </w:r>
            <w:r w:rsidRPr="005F5DF9">
              <w:rPr>
                <w:rFonts w:cstheme="minorHAnsi"/>
                <w:sz w:val="20"/>
                <w:szCs w:val="20"/>
              </w:rPr>
              <w:fldChar w:fldCharType="end"/>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proofErr w:type="spellStart"/>
            <w:r w:rsidRPr="005F5DF9">
              <w:rPr>
                <w:rFonts w:cstheme="minorHAnsi"/>
                <w:i/>
                <w:sz w:val="20"/>
                <w:szCs w:val="20"/>
              </w:rPr>
              <w:t>k</w:t>
            </w:r>
            <w:r w:rsidRPr="005F5DF9">
              <w:rPr>
                <w:rFonts w:cstheme="minorHAnsi"/>
                <w:i/>
                <w:sz w:val="20"/>
                <w:szCs w:val="20"/>
                <w:vertAlign w:val="subscript"/>
              </w:rPr>
              <w:t>off</w:t>
            </w:r>
            <w:proofErr w:type="spellEnd"/>
            <w:r w:rsidRPr="005F5DF9">
              <w:rPr>
                <w:rFonts w:cstheme="minorHAnsi"/>
                <w:i/>
                <w:sz w:val="20"/>
                <w:szCs w:val="20"/>
                <w:vertAlign w:val="subscript"/>
              </w:rPr>
              <w:t>, GTP</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Tubulin off-rate when GTP dimer below</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vertAlign w:val="superscript"/>
              </w:rPr>
            </w:pPr>
            <w:r>
              <w:rPr>
                <w:rFonts w:cstheme="minorHAnsi"/>
                <w:sz w:val="20"/>
                <w:szCs w:val="20"/>
              </w:rPr>
              <w:t>0.</w:t>
            </w:r>
            <w:r w:rsidRPr="005F5DF9">
              <w:rPr>
                <w:rFonts w:cstheme="minorHAnsi"/>
                <w:sz w:val="20"/>
                <w:szCs w:val="20"/>
              </w:rPr>
              <w:t>2 s</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{"citationID":"wgTrM045","properties":{"formattedCitation":"(Margolin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proofErr w:type="spellStart"/>
            <w:r w:rsidRPr="005F5DF9">
              <w:rPr>
                <w:rFonts w:cstheme="minorHAnsi"/>
                <w:i/>
                <w:sz w:val="20"/>
                <w:szCs w:val="20"/>
              </w:rPr>
              <w:t>k</w:t>
            </w:r>
            <w:r w:rsidRPr="005F5DF9">
              <w:rPr>
                <w:rFonts w:cstheme="minorHAnsi"/>
                <w:i/>
                <w:sz w:val="20"/>
                <w:szCs w:val="20"/>
                <w:vertAlign w:val="subscript"/>
              </w:rPr>
              <w:t>off</w:t>
            </w:r>
            <w:proofErr w:type="spellEnd"/>
            <w:r w:rsidRPr="005F5DF9">
              <w:rPr>
                <w:rFonts w:cstheme="minorHAnsi"/>
                <w:i/>
                <w:sz w:val="20"/>
                <w:szCs w:val="20"/>
                <w:vertAlign w:val="subscript"/>
              </w:rPr>
              <w:t>, GDP</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Tubulin off-rate when GDP dimer below</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20</w:t>
            </w:r>
            <w:r>
              <w:rPr>
                <w:rFonts w:cstheme="minorHAnsi"/>
                <w:sz w:val="20"/>
                <w:szCs w:val="20"/>
              </w:rPr>
              <w:t>0</w:t>
            </w:r>
            <w:r w:rsidRPr="005F5DF9">
              <w:rPr>
                <w:rFonts w:cstheme="minorHAnsi"/>
                <w:sz w:val="20"/>
                <w:szCs w:val="20"/>
              </w:rPr>
              <w:t xml:space="preserve"> s</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{"citationID":"plFoWwUI","properties":{"formattedCitation":"(Margolin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proofErr w:type="spellStart"/>
            <w:r w:rsidRPr="005F5DF9">
              <w:rPr>
                <w:rFonts w:cstheme="minorHAnsi"/>
                <w:i/>
                <w:sz w:val="20"/>
                <w:szCs w:val="20"/>
              </w:rPr>
              <w:t>k</w:t>
            </w:r>
            <w:r w:rsidRPr="005F5DF9">
              <w:rPr>
                <w:rFonts w:cstheme="minorHAnsi"/>
                <w:i/>
                <w:sz w:val="20"/>
                <w:szCs w:val="20"/>
                <w:vertAlign w:val="subscript"/>
              </w:rPr>
              <w:t>hyd</w:t>
            </w:r>
            <w:proofErr w:type="spellEnd"/>
            <w:r w:rsidRPr="005F5DF9">
              <w:rPr>
                <w:rFonts w:cstheme="minorHAnsi"/>
                <w:i/>
                <w:sz w:val="20"/>
                <w:szCs w:val="20"/>
                <w:vertAlign w:val="subscript"/>
              </w:rPr>
              <w:t>, GTP</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 xml:space="preserve">Hydrolysis rate constant </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0.</w:t>
            </w:r>
            <w:r>
              <w:rPr>
                <w:rFonts w:cstheme="minorHAnsi"/>
                <w:sz w:val="20"/>
                <w:szCs w:val="20"/>
              </w:rPr>
              <w:t>55</w:t>
            </w:r>
            <w:r w:rsidRPr="005F5DF9">
              <w:rPr>
                <w:rFonts w:cstheme="minorHAnsi"/>
                <w:sz w:val="20"/>
                <w:szCs w:val="20"/>
              </w:rPr>
              <w:t xml:space="preserve"> s</w:t>
            </w:r>
            <w:r w:rsidRPr="005F5DF9">
              <w:rPr>
                <w:rFonts w:cstheme="minorHAnsi"/>
                <w:sz w:val="20"/>
                <w:szCs w:val="20"/>
                <w:vertAlign w:val="superscript"/>
              </w:rPr>
              <w:t>-1</w:t>
            </w:r>
            <w:r w:rsidRPr="005F5DF9">
              <w:rPr>
                <w:rFonts w:cstheme="minorHAnsi"/>
                <w:sz w:val="20"/>
                <w:szCs w:val="20"/>
              </w:rPr>
              <w:t xml:space="preserve"> </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{"citationID":"UrgtnYBL","properties":{"formattedCitation":"(Margolin et al., 2012)","plainCitation":"(Margolin et al., 2012)","noteIndex":0},"citationItems":[{"id":"MyMROoSN/Ex14XZBP","uris":["http://zotero.org/users/local/zbNgmZyv/items/SGXGC7K9"],"itemData":{"id":"MB5MT8Jr/1sc2Ce9j","type":"article-journal","abstract":"Microtubule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r w:rsidRPr="005F5DF9" w:rsidDel="003B7843">
              <w:rPr>
                <w:rFonts w:cstheme="minorHAnsi"/>
                <w:sz w:val="20"/>
                <w:szCs w:val="20"/>
              </w:rPr>
              <w:t xml:space="preserve"> </w:t>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proofErr w:type="spellStart"/>
            <w:r w:rsidRPr="005F5DF9">
              <w:rPr>
                <w:rFonts w:cstheme="minorHAnsi"/>
                <w:i/>
                <w:sz w:val="20"/>
                <w:szCs w:val="20"/>
              </w:rPr>
              <w:t>k</w:t>
            </w:r>
            <w:r w:rsidRPr="005F5DF9">
              <w:rPr>
                <w:rFonts w:cstheme="minorHAnsi"/>
                <w:i/>
                <w:sz w:val="20"/>
                <w:szCs w:val="20"/>
                <w:vertAlign w:val="subscript"/>
              </w:rPr>
              <w:t>lateral</w:t>
            </w:r>
            <w:proofErr w:type="spellEnd"/>
            <w:r w:rsidRPr="005F5DF9">
              <w:rPr>
                <w:rFonts w:cstheme="minorHAnsi"/>
                <w:i/>
                <w:sz w:val="20"/>
                <w:szCs w:val="20"/>
                <w:vertAlign w:val="subscript"/>
              </w:rPr>
              <w:t xml:space="preserve"> Bond Formation</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 xml:space="preserve">Formation rate for a lateral bond between </w:t>
            </w:r>
            <w:proofErr w:type="spellStart"/>
            <w:r w:rsidRPr="005F5DF9">
              <w:rPr>
                <w:rFonts w:cstheme="minorHAnsi"/>
                <w:sz w:val="20"/>
                <w:szCs w:val="20"/>
              </w:rPr>
              <w:t>protofilaments</w:t>
            </w:r>
            <w:proofErr w:type="spellEnd"/>
            <w:r w:rsidRPr="005F5DF9">
              <w:rPr>
                <w:rFonts w:cstheme="minorHAnsi"/>
                <w:sz w:val="20"/>
                <w:szCs w:val="20"/>
              </w:rPr>
              <w:t xml:space="preserve"> </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100 s</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{"citationID":"49frKTKW","properties":{"formattedCitation":"(Margolin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proofErr w:type="spellStart"/>
            <w:r w:rsidRPr="005F5DF9">
              <w:rPr>
                <w:rFonts w:cstheme="minorHAnsi"/>
                <w:i/>
                <w:sz w:val="20"/>
                <w:szCs w:val="20"/>
              </w:rPr>
              <w:t>k</w:t>
            </w:r>
            <w:r w:rsidRPr="005F5DF9">
              <w:rPr>
                <w:rFonts w:cstheme="minorHAnsi"/>
                <w:i/>
                <w:sz w:val="20"/>
                <w:szCs w:val="20"/>
                <w:vertAlign w:val="subscript"/>
              </w:rPr>
              <w:t>lateral</w:t>
            </w:r>
            <w:proofErr w:type="spellEnd"/>
            <w:r w:rsidRPr="005F5DF9">
              <w:rPr>
                <w:rFonts w:cstheme="minorHAnsi"/>
                <w:i/>
                <w:sz w:val="20"/>
                <w:szCs w:val="20"/>
                <w:vertAlign w:val="subscript"/>
              </w:rPr>
              <w:t xml:space="preserve"> bond break TT</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Breakage Rate for lateral bond between two GTP dimers</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70 s</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{"citationID":"BzJSvgPw","properties":{"formattedCitation":"(Margolin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proofErr w:type="spellStart"/>
            <w:r w:rsidRPr="005F5DF9">
              <w:rPr>
                <w:rFonts w:cstheme="minorHAnsi"/>
                <w:i/>
                <w:sz w:val="20"/>
                <w:szCs w:val="20"/>
              </w:rPr>
              <w:t>k</w:t>
            </w:r>
            <w:r w:rsidRPr="005F5DF9">
              <w:rPr>
                <w:rFonts w:cstheme="minorHAnsi"/>
                <w:i/>
                <w:sz w:val="20"/>
                <w:szCs w:val="20"/>
                <w:vertAlign w:val="subscript"/>
              </w:rPr>
              <w:t>lateral</w:t>
            </w:r>
            <w:proofErr w:type="spellEnd"/>
            <w:r w:rsidRPr="005F5DF9">
              <w:rPr>
                <w:rFonts w:cstheme="minorHAnsi"/>
                <w:i/>
                <w:sz w:val="20"/>
                <w:szCs w:val="20"/>
                <w:vertAlign w:val="subscript"/>
              </w:rPr>
              <w:t xml:space="preserve"> bond break TD</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Breakage rate for lateral bond between a GTP and GDP dimer</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90 s</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{"citationID":"HHLfTzzK","properties":{"formattedCitation":"(Margolin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rPr>
            </w:pPr>
            <w:proofErr w:type="spellStart"/>
            <w:r w:rsidRPr="005F5DF9">
              <w:rPr>
                <w:rFonts w:cstheme="minorHAnsi"/>
                <w:i/>
                <w:sz w:val="20"/>
                <w:szCs w:val="20"/>
              </w:rPr>
              <w:t>k</w:t>
            </w:r>
            <w:r w:rsidRPr="005F5DF9">
              <w:rPr>
                <w:rFonts w:cstheme="minorHAnsi"/>
                <w:i/>
                <w:sz w:val="20"/>
                <w:szCs w:val="20"/>
                <w:vertAlign w:val="subscript"/>
              </w:rPr>
              <w:t>lateral</w:t>
            </w:r>
            <w:proofErr w:type="spellEnd"/>
            <w:r w:rsidRPr="005F5DF9">
              <w:rPr>
                <w:rFonts w:cstheme="minorHAnsi"/>
                <w:i/>
                <w:sz w:val="20"/>
                <w:szCs w:val="20"/>
                <w:vertAlign w:val="subscript"/>
              </w:rPr>
              <w:t xml:space="preserve"> bond break DD</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Breakage rate for lateral bond between two GDP dimers</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600 s</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{"citationID":"A3WAFDix","properties":{"formattedCitation":"(Margolin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r w:rsidRPr="005F5DF9">
              <w:rPr>
                <w:rFonts w:cstheme="minorHAnsi"/>
                <w:sz w:val="20"/>
                <w:szCs w:val="20"/>
              </w:rPr>
              <w:t xml:space="preserve"> </w:t>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proofErr w:type="spellStart"/>
            <w:r w:rsidRPr="005F5DF9">
              <w:rPr>
                <w:rFonts w:cstheme="minorHAnsi"/>
                <w:i/>
                <w:sz w:val="20"/>
                <w:szCs w:val="20"/>
              </w:rPr>
              <w:t>k</w:t>
            </w:r>
            <w:r w:rsidRPr="005F5DF9">
              <w:rPr>
                <w:rFonts w:cstheme="minorHAnsi"/>
                <w:i/>
                <w:sz w:val="20"/>
                <w:szCs w:val="20"/>
                <w:vertAlign w:val="subscript"/>
              </w:rPr>
              <w:t>lateral</w:t>
            </w:r>
            <w:proofErr w:type="spellEnd"/>
            <w:r w:rsidRPr="005F5DF9">
              <w:rPr>
                <w:rFonts w:cstheme="minorHAnsi"/>
                <w:i/>
                <w:sz w:val="20"/>
                <w:szCs w:val="20"/>
                <w:vertAlign w:val="subscript"/>
              </w:rPr>
              <w:t xml:space="preserve"> bond break TT Seam</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Breakage Rate for lateral bond two GTP dimers at the seam</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vertAlign w:val="superscript"/>
              </w:rPr>
            </w:pPr>
            <w:r w:rsidRPr="005F5DF9">
              <w:rPr>
                <w:rFonts w:cstheme="minorHAnsi"/>
                <w:sz w:val="20"/>
                <w:szCs w:val="20"/>
              </w:rPr>
              <w:t>140 s</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{"citationID":"zUkvgkyP","properties":{"formattedCitation":"(Margolin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proofErr w:type="spellStart"/>
            <w:r w:rsidRPr="005F5DF9">
              <w:rPr>
                <w:rFonts w:cstheme="minorHAnsi"/>
                <w:i/>
                <w:sz w:val="20"/>
                <w:szCs w:val="20"/>
              </w:rPr>
              <w:t>k</w:t>
            </w:r>
            <w:r w:rsidRPr="005F5DF9">
              <w:rPr>
                <w:rFonts w:cstheme="minorHAnsi"/>
                <w:i/>
                <w:sz w:val="20"/>
                <w:szCs w:val="20"/>
                <w:vertAlign w:val="subscript"/>
              </w:rPr>
              <w:t>lateral</w:t>
            </w:r>
            <w:proofErr w:type="spellEnd"/>
            <w:r w:rsidRPr="005F5DF9">
              <w:rPr>
                <w:rFonts w:cstheme="minorHAnsi"/>
                <w:i/>
                <w:sz w:val="20"/>
                <w:szCs w:val="20"/>
                <w:vertAlign w:val="subscript"/>
              </w:rPr>
              <w:t xml:space="preserve"> bond break TD Seam</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Breakage Rate for lateral bond between a GTP and GDP dimer at the seam</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vertAlign w:val="superscript"/>
              </w:rPr>
            </w:pPr>
            <w:r w:rsidRPr="005F5DF9">
              <w:rPr>
                <w:rFonts w:cstheme="minorHAnsi"/>
                <w:sz w:val="20"/>
                <w:szCs w:val="20"/>
              </w:rPr>
              <w:t>180 s</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{"citationID":"5gyRrxp9","properties":{"formattedCitation":"(Margolin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rPr>
            </w:pPr>
            <w:proofErr w:type="spellStart"/>
            <w:r w:rsidRPr="005F5DF9">
              <w:rPr>
                <w:rFonts w:cstheme="minorHAnsi"/>
                <w:i/>
                <w:sz w:val="20"/>
                <w:szCs w:val="20"/>
              </w:rPr>
              <w:t>k</w:t>
            </w:r>
            <w:r w:rsidRPr="005F5DF9">
              <w:rPr>
                <w:rFonts w:cstheme="minorHAnsi"/>
                <w:i/>
                <w:sz w:val="20"/>
                <w:szCs w:val="20"/>
                <w:vertAlign w:val="subscript"/>
              </w:rPr>
              <w:t>lateral</w:t>
            </w:r>
            <w:proofErr w:type="spellEnd"/>
            <w:r w:rsidRPr="005F5DF9">
              <w:rPr>
                <w:rFonts w:cstheme="minorHAnsi"/>
                <w:i/>
                <w:sz w:val="20"/>
                <w:szCs w:val="20"/>
                <w:vertAlign w:val="subscript"/>
              </w:rPr>
              <w:t xml:space="preserve"> bond break DD Seam</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Breakage Rate for lateral bond between two GDP dimers at the seam</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1200 s</w:t>
            </w:r>
            <w:r w:rsidRPr="005F5DF9">
              <w:rPr>
                <w:rFonts w:cstheme="minorHAnsi"/>
                <w:sz w:val="20"/>
                <w:szCs w:val="20"/>
                <w:vertAlign w:val="superscript"/>
              </w:rPr>
              <w:t>-1</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{"citationID":"wtDay7J9","properties":{"formattedCitation":"(Margolin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r w:rsidRPr="005F5DF9">
              <w:rPr>
                <w:rFonts w:cstheme="minorHAnsi"/>
                <w:sz w:val="20"/>
                <w:szCs w:val="20"/>
              </w:rPr>
              <w:t xml:space="preserve"> </w:t>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r w:rsidRPr="005F5DF9">
              <w:rPr>
                <w:rFonts w:cstheme="minorHAnsi"/>
                <w:i/>
                <w:sz w:val="20"/>
                <w:szCs w:val="20"/>
              </w:rPr>
              <w:t>π</w:t>
            </w:r>
            <w:r w:rsidRPr="005F5DF9">
              <w:rPr>
                <w:rFonts w:cstheme="minorHAnsi"/>
                <w:i/>
                <w:sz w:val="20"/>
                <w:szCs w:val="20"/>
                <w:vertAlign w:val="subscript"/>
              </w:rPr>
              <w:t>break</w:t>
            </w:r>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 xml:space="preserve">Correction factor for the lateral bond breakage rate if the neighboring PFs all have lateral bonds </w:t>
            </w:r>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Pr>
                <w:rFonts w:cstheme="minorHAnsi"/>
                <w:sz w:val="20"/>
                <w:szCs w:val="20"/>
              </w:rPr>
              <w:t>10</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fldChar w:fldCharType="begin"/>
            </w:r>
            <w:r>
              <w:rPr>
                <w:rFonts w:cstheme="minorHAnsi"/>
                <w:sz w:val="20"/>
                <w:szCs w:val="20"/>
              </w:rPr>
              <w:instrText xml:space="preserve"> ADDIN ZOTERO_ITEM CSL_CITATION {"citationID":"2Rl3zSPB","properties":{"formattedCitation":"(Margolin et al., 2012)","plainCitation":"(Margolin et al., 2012)","noteIndex":0},"citationItems":[{"id":"MyMROoSN/Ex14XZBP","uris":["http://zotero.org/users/local/zbNgmZyv/items/SGXGC7K9"],"itemData":{"id":499,"type":"article-journal","abstract":"Microtubule (MT) dynamic instability is fundamental to many cell functions, but its mechanism remains poorly understood, in part because it is difficult to gain information about the dimer-scale events at the MT tip. To address this issue, we used a dimer-scale computational model of MT assembly that is consistent with tubulin structure and biochemistry, displays dynamic instability, and covers experimentally relevant spans of time. It allows us to correlate macroscopic behaviors (dynamic instability parameters) with microscopic structures (tip conformations) and examine protofilament structure as the tip spontaneously progresses through both catastrophe and rescue. The model's behavior suggests that several commonly held assumptions about MT dynamics should be reconsidered. Moreover, it predicts that short, interprotofilament “cracks” (laterally unbonded regions between protofilaments) exist even at the tips of growing MTs and that rapid fluctuations in the depths of these cracks influence both catastrophe and rescue. We conclude that experimentally observed microtubule behavior can best be explained by a “stochastic cap” model in which tubulin subunits hydrolyze GTP according to a first-order reaction after they are incorporated into the lattice; catastrophe and rescue result from stochastic fluctuations in the size, shape, and extent of lateral bonding of the cap.","container-title":"Molecular Biology of the Cell","DOI":"10.1091/mbc.e11-08-0688","ISSN":"1059-1524, 1939-4586","issue":"4","journalAbbreviation":"MBoC","language":"en","note":"number: 4","page":"642-656","source":"DOI.org (Crossref)","title":"The mechanisms of microtubule catastrophe and rescue: implications from analysis of a dimer-scale computational model","title-short":"The mechanisms of microtubule catastrophe and rescue","volume":"23","author":[{"family":"Margolin","given":"Gennady"},{"family":"Gregoretti","given":"Ivan V."},{"family":"Cickovski","given":"Trevor M."},{"family":"Li","given":"Chunlei"},{"family":"Shi","given":"Wei"},{"family":"Alber","given":"Mark S."},{"family":"Goodson","given":"Holly V."}],"editor":[{"family":"Mogilner","given":"Alexander"}],"issued":{"date-parts":[["2012",2,15]]}}}],"schema":"https://github.com/citation-style-language/schema/raw/master/csl-citation.json"}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Margolin</w:t>
            </w:r>
            <w:proofErr w:type="spellEnd"/>
            <w:r w:rsidRPr="005F5DF9">
              <w:rPr>
                <w:rFonts w:cstheme="minorHAnsi"/>
                <w:sz w:val="20"/>
                <w:szCs w:val="20"/>
              </w:rPr>
              <w:t xml:space="preserve"> et al., 2012)</w:t>
            </w:r>
            <w:r w:rsidRPr="005F5DF9">
              <w:rPr>
                <w:rFonts w:cstheme="minorHAnsi"/>
                <w:sz w:val="20"/>
                <w:szCs w:val="20"/>
              </w:rPr>
              <w:fldChar w:fldCharType="end"/>
            </w:r>
            <w:r w:rsidRPr="005F5DF9">
              <w:rPr>
                <w:rFonts w:cstheme="minorHAnsi"/>
                <w:sz w:val="20"/>
                <w:szCs w:val="20"/>
              </w:rPr>
              <w:t xml:space="preserve"> </w:t>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proofErr w:type="spellStart"/>
            <w:r w:rsidRPr="005F5DF9">
              <w:rPr>
                <w:rFonts w:cstheme="minorHAnsi"/>
                <w:i/>
                <w:sz w:val="20"/>
                <w:szCs w:val="20"/>
              </w:rPr>
              <w:t>T</w:t>
            </w:r>
            <w:r w:rsidRPr="005F5DF9">
              <w:rPr>
                <w:rFonts w:cstheme="minorHAnsi"/>
                <w:i/>
                <w:sz w:val="20"/>
                <w:szCs w:val="20"/>
              </w:rPr>
              <w:softHyphen/>
            </w:r>
            <w:r w:rsidRPr="005F5DF9">
              <w:rPr>
                <w:rFonts w:cstheme="minorHAnsi"/>
                <w:i/>
                <w:sz w:val="20"/>
                <w:szCs w:val="20"/>
                <w:vertAlign w:val="subscript"/>
              </w:rPr>
              <w:t>dimer</w:t>
            </w:r>
            <w:proofErr w:type="spellEnd"/>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 xml:space="preserve">Max taper length in dimers before increase in </w:t>
            </w:r>
            <w:proofErr w:type="spellStart"/>
            <w:r w:rsidRPr="005F5DF9">
              <w:rPr>
                <w:rFonts w:cstheme="minorHAnsi"/>
                <w:sz w:val="20"/>
                <w:szCs w:val="20"/>
              </w:rPr>
              <w:t>k</w:t>
            </w:r>
            <w:r w:rsidRPr="005F5DF9">
              <w:rPr>
                <w:rFonts w:cstheme="minorHAnsi"/>
                <w:sz w:val="20"/>
                <w:szCs w:val="20"/>
                <w:vertAlign w:val="subscript"/>
              </w:rPr>
              <w:t>lateral</w:t>
            </w:r>
            <w:proofErr w:type="spellEnd"/>
            <w:r w:rsidRPr="005F5DF9">
              <w:rPr>
                <w:rFonts w:cstheme="minorHAnsi"/>
                <w:sz w:val="20"/>
                <w:szCs w:val="20"/>
                <w:vertAlign w:val="subscript"/>
              </w:rPr>
              <w:t xml:space="preserve"> bond break</w:t>
            </w:r>
            <w:r w:rsidRPr="005F5DF9">
              <w:rPr>
                <w:rFonts w:cstheme="minorHAnsi"/>
                <w:sz w:val="20"/>
                <w:szCs w:val="20"/>
              </w:rPr>
              <w:t xml:space="preserve"> and </w:t>
            </w:r>
            <w:proofErr w:type="spellStart"/>
            <w:r w:rsidRPr="005F5DF9">
              <w:rPr>
                <w:rFonts w:cstheme="minorHAnsi"/>
                <w:sz w:val="20"/>
                <w:szCs w:val="20"/>
              </w:rPr>
              <w:t>k</w:t>
            </w:r>
            <w:r w:rsidRPr="005F5DF9">
              <w:rPr>
                <w:rFonts w:cstheme="minorHAnsi"/>
                <w:sz w:val="20"/>
                <w:szCs w:val="20"/>
                <w:vertAlign w:val="subscript"/>
              </w:rPr>
              <w:t>off</w:t>
            </w:r>
            <w:proofErr w:type="spellEnd"/>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75 layers (600 nm)</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 xml:space="preserve">Based on </w:t>
            </w:r>
            <w:r w:rsidRPr="005F5DF9">
              <w:rPr>
                <w:rFonts w:cstheme="minorHAnsi"/>
                <w:sz w:val="20"/>
                <w:szCs w:val="20"/>
              </w:rPr>
              <w:fldChar w:fldCharType="begin"/>
            </w:r>
            <w:r w:rsidRPr="005F5DF9">
              <w:rPr>
                <w:rFonts w:cstheme="minorHAnsi"/>
                <w:sz w:val="20"/>
                <w:szCs w:val="20"/>
              </w:rPr>
              <w:instrText xml:space="preserve"> ADDIN ZOTERO_ITEM CSL_CITATION {"citationID":"nVDzp7y3","properties":{"formattedCitation":"(Ogren et al., 2022)","plainCitation":"(Ogren et al., 2022)","noteIndex":0},"citationItems":[{"id":148,"uris":["http://zotero.org/users/local/RYCfYD2f/items/GYQG8DA8"],"itemData":{"id":148,"type":"article-journal","abstract":"Significance\n            Kinesin-14 motors represent an essential class of molecular motors that bind to microtubules and then walk toward the microtubule minus-end. However, whether these motors can interact with growing plus-ends of microtubules to impact the lengthening of microtubules remains unknown. We found that Kinesin-14 motors could bind to a protein that resides at growing microtubule plus-ends and then pull this protein away from the growing end. This interaction acted to disrupt microtubule growth and decrease microtubule lengths in cells, likely by exerting minus-end–directed forces at the microtubule tip to alter the configuration of the growing microtubule plus-end. This work demonstrates general principles for the diverse roles that force-generating molecular motors can play in regulating cellular processes.\n          , \n            Kinesin-14 molecular motors represent an essential class of proteins that bind microtubules and walk toward their minus-ends. Previous studies have described important roles for Kinesin-14 motors at microtubule minus-ends, but their role in regulating plus-end dynamics remains controversial. Kinesin-14 motors have been shown to bind the EB family of microtubule plus-end binding proteins, suggesting that these minus-end–directed motors could interact with growing microtubule plus-ends. In this work, we explored the role of minus-end–directed Kinesin-14 motor forces in controlling plus-end microtubule dynamics. In cells, a Kinesin-14 mutant with reduced affinity to EB proteins led to increased microtubule lengths. Cell-free biophysical microscopy assays were performed using Kinesin-14 motors and an EB family marker of growing microtubule plus-ends, Mal3, which revealed that when Kinesin-14 motors bound to Mal3 at growing microtubule plus-ends, the motors subsequently walked toward the minus-end, and Mal3 was pulled away from the growing microtubule tip. Strikingly, these interactions resulted in an approximately twofold decrease in the expected postinteraction microtubule lifetime. Furthermore, generic minus-end–directed tension forces, generated by tethering growing plus-ends to the coverslip using λ-DNA, led to an approximately sevenfold decrease in the expected postinteraction microtubule growth length. In contrast, the inhibition of Kinesin-14 minus-end–directed motility led to extended tip interactions and to an increase in the expected postinteraction microtubule lifetime, indicating that plus-ends were stabilized by nonmotile Kinesin-14 motors. Together, we find that Kinesin-14 motors participate in a force balance at microtubule plus-ends to regulate microtubule lengths in cells.","container-title":"Proceedings of the National Academy of Sciences","DOI":"10.1073/pnas.2108046119","ISSN":"0027-8424, 1091-6490","issue":"8","journalAbbreviation":"Proc. Natl. Acad. Sci. U.S.A.","language":"en","page":"e2108046119","source":"DOI.org (Crossref)","title":"Kinesin-14 motors participate in a force balance at microtubule plus-ends to regulate dynamic instability","volume":"119","author":[{"family":"Ogren","given":"Allison"},{"family":"Parmar","given":"Sneha"},{"family":"Mukherjee","given":"Soumya"},{"family":"Gonzalez","given":"Samuel J."},{"family":"Plooster","given":"Melissa"},{"family":"McClellan","given":"Mark"},{"family":"Mannava","given":"Anirudh G."},{"family":"Davidson","given":"Elliott"},{"family":"Davis","given":"Trisha N."},{"family":"Gardner","given":"Melissa K."}],"issued":{"date-parts":[["2022",2,22]]}}}],"schema":"https://github.com/citation-style-language/schema/raw/master/csl-citation.json"} </w:instrText>
            </w:r>
            <w:r w:rsidRPr="005F5DF9">
              <w:rPr>
                <w:rFonts w:cstheme="minorHAnsi"/>
                <w:sz w:val="20"/>
                <w:szCs w:val="20"/>
              </w:rPr>
              <w:fldChar w:fldCharType="separate"/>
            </w:r>
            <w:r w:rsidRPr="005F5DF9">
              <w:rPr>
                <w:rFonts w:cstheme="minorHAnsi"/>
                <w:sz w:val="20"/>
                <w:szCs w:val="20"/>
              </w:rPr>
              <w:t>(</w:t>
            </w:r>
            <w:proofErr w:type="spellStart"/>
            <w:r w:rsidRPr="005F5DF9">
              <w:rPr>
                <w:rFonts w:cstheme="minorHAnsi"/>
                <w:sz w:val="20"/>
                <w:szCs w:val="20"/>
              </w:rPr>
              <w:t>Ogren</w:t>
            </w:r>
            <w:proofErr w:type="spellEnd"/>
            <w:r w:rsidRPr="005F5DF9">
              <w:rPr>
                <w:rFonts w:cstheme="minorHAnsi"/>
                <w:sz w:val="20"/>
                <w:szCs w:val="20"/>
              </w:rPr>
              <w:t xml:space="preserve"> et al., 2022)</w:t>
            </w:r>
            <w:r w:rsidRPr="005F5DF9">
              <w:rPr>
                <w:rFonts w:cstheme="minorHAnsi"/>
                <w:sz w:val="20"/>
                <w:szCs w:val="20"/>
              </w:rPr>
              <w:fldChar w:fldCharType="end"/>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vertAlign w:val="subscript"/>
              </w:rPr>
            </w:pPr>
            <w:r w:rsidRPr="005F5DF9">
              <w:rPr>
                <w:rFonts w:cstheme="minorHAnsi"/>
                <w:i/>
                <w:sz w:val="20"/>
                <w:szCs w:val="20"/>
              </w:rPr>
              <w:t>π</w:t>
            </w:r>
            <w:r w:rsidRPr="005F5DF9">
              <w:rPr>
                <w:rFonts w:cstheme="minorHAnsi"/>
                <w:i/>
                <w:sz w:val="20"/>
                <w:szCs w:val="20"/>
              </w:rPr>
              <w:softHyphen/>
            </w:r>
            <w:proofErr w:type="spellStart"/>
            <w:r w:rsidRPr="005F5DF9">
              <w:rPr>
                <w:rFonts w:cstheme="minorHAnsi"/>
                <w:i/>
                <w:sz w:val="20"/>
                <w:szCs w:val="20"/>
                <w:vertAlign w:val="subscript"/>
              </w:rPr>
              <w:t>taperOff</w:t>
            </w:r>
            <w:proofErr w:type="spellEnd"/>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vertAlign w:val="subscript"/>
              </w:rPr>
            </w:pPr>
            <w:r w:rsidRPr="005F5DF9">
              <w:rPr>
                <w:rFonts w:cstheme="minorHAnsi"/>
                <w:sz w:val="20"/>
                <w:szCs w:val="20"/>
              </w:rPr>
              <w:t xml:space="preserve">Factor to increase off rates when taper greater than </w:t>
            </w:r>
            <w:proofErr w:type="spellStart"/>
            <w:r w:rsidRPr="005F5DF9">
              <w:rPr>
                <w:rFonts w:cstheme="minorHAnsi"/>
                <w:sz w:val="20"/>
                <w:szCs w:val="20"/>
              </w:rPr>
              <w:t>T</w:t>
            </w:r>
            <w:r w:rsidRPr="005F5DF9">
              <w:rPr>
                <w:rFonts w:cstheme="minorHAnsi"/>
                <w:sz w:val="20"/>
                <w:szCs w:val="20"/>
                <w:vertAlign w:val="subscript"/>
              </w:rPr>
              <w:t>dimer</w:t>
            </w:r>
            <w:proofErr w:type="spellEnd"/>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100</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this study</w:t>
            </w:r>
          </w:p>
        </w:tc>
      </w:tr>
      <w:tr w:rsidR="005E6249" w:rsidRPr="00F96160" w:rsidTr="00006C86">
        <w:tc>
          <w:tcPr>
            <w:tcW w:w="2318" w:type="dxa"/>
            <w:shd w:val="clear" w:color="auto" w:fill="auto"/>
          </w:tcPr>
          <w:p w:rsidR="005E6249" w:rsidRPr="005F5DF9" w:rsidRDefault="005E6249" w:rsidP="00006C86">
            <w:pPr>
              <w:tabs>
                <w:tab w:val="left" w:pos="1440"/>
                <w:tab w:val="left" w:pos="4320"/>
                <w:tab w:val="left" w:pos="6480"/>
              </w:tabs>
              <w:contextualSpacing/>
              <w:rPr>
                <w:rFonts w:cstheme="minorHAnsi"/>
                <w:i/>
                <w:sz w:val="20"/>
                <w:szCs w:val="20"/>
              </w:rPr>
            </w:pPr>
            <w:r w:rsidRPr="005F5DF9">
              <w:rPr>
                <w:rFonts w:cstheme="minorHAnsi"/>
                <w:i/>
                <w:sz w:val="20"/>
                <w:szCs w:val="20"/>
              </w:rPr>
              <w:t>π</w:t>
            </w:r>
            <w:r w:rsidRPr="005F5DF9">
              <w:rPr>
                <w:rFonts w:cstheme="minorHAnsi"/>
                <w:i/>
                <w:sz w:val="20"/>
                <w:szCs w:val="20"/>
              </w:rPr>
              <w:softHyphen/>
            </w:r>
            <w:proofErr w:type="spellStart"/>
            <w:r w:rsidRPr="005F5DF9">
              <w:rPr>
                <w:rFonts w:cstheme="minorHAnsi"/>
                <w:i/>
                <w:sz w:val="20"/>
                <w:szCs w:val="20"/>
                <w:vertAlign w:val="subscript"/>
              </w:rPr>
              <w:t>taperLateralBreak</w:t>
            </w:r>
            <w:proofErr w:type="spellEnd"/>
          </w:p>
        </w:tc>
        <w:tc>
          <w:tcPr>
            <w:tcW w:w="272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 xml:space="preserve">Factor to increase lateral bond breaking rates when taper greater than </w:t>
            </w:r>
            <w:proofErr w:type="spellStart"/>
            <w:r w:rsidRPr="005F5DF9">
              <w:rPr>
                <w:rFonts w:cstheme="minorHAnsi"/>
                <w:sz w:val="20"/>
                <w:szCs w:val="20"/>
              </w:rPr>
              <w:t>T</w:t>
            </w:r>
            <w:r w:rsidRPr="005F5DF9">
              <w:rPr>
                <w:rFonts w:cstheme="minorHAnsi"/>
                <w:sz w:val="20"/>
                <w:szCs w:val="20"/>
                <w:vertAlign w:val="subscript"/>
              </w:rPr>
              <w:t>dimer</w:t>
            </w:r>
            <w:proofErr w:type="spellEnd"/>
          </w:p>
        </w:tc>
        <w:tc>
          <w:tcPr>
            <w:tcW w:w="1918"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1000</w:t>
            </w:r>
          </w:p>
        </w:tc>
        <w:tc>
          <w:tcPr>
            <w:tcW w:w="2402" w:type="dxa"/>
            <w:shd w:val="clear" w:color="auto" w:fill="auto"/>
          </w:tcPr>
          <w:p w:rsidR="005E6249" w:rsidRPr="005F5DF9" w:rsidRDefault="005E6249" w:rsidP="00006C86">
            <w:pPr>
              <w:tabs>
                <w:tab w:val="left" w:pos="1440"/>
                <w:tab w:val="left" w:pos="4320"/>
                <w:tab w:val="left" w:pos="6480"/>
              </w:tabs>
              <w:contextualSpacing/>
              <w:rPr>
                <w:rFonts w:cstheme="minorHAnsi"/>
                <w:sz w:val="20"/>
                <w:szCs w:val="20"/>
              </w:rPr>
            </w:pPr>
            <w:r w:rsidRPr="005F5DF9">
              <w:rPr>
                <w:rFonts w:cstheme="minorHAnsi"/>
                <w:sz w:val="20"/>
                <w:szCs w:val="20"/>
              </w:rPr>
              <w:t>this study</w:t>
            </w:r>
          </w:p>
        </w:tc>
      </w:tr>
    </w:tbl>
    <w:p w:rsidR="005E6249" w:rsidRDefault="005E6249" w:rsidP="005E6249">
      <w:pPr>
        <w:rPr>
          <w:rFonts w:cstheme="minorHAnsi"/>
          <w:sz w:val="24"/>
          <w:szCs w:val="24"/>
        </w:rPr>
      </w:pPr>
    </w:p>
    <w:p w:rsidR="0080206A" w:rsidRDefault="0080206A">
      <w:bookmarkStart w:id="0" w:name="_GoBack"/>
      <w:bookmarkEnd w:id="0"/>
    </w:p>
    <w:sectPr w:rsidR="00802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49"/>
    <w:rsid w:val="005E6249"/>
    <w:rsid w:val="0080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2F582-33CD-4427-8666-99F108D2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5757</Words>
  <Characters>32817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 Gardner</dc:creator>
  <cp:keywords/>
  <dc:description/>
  <cp:lastModifiedBy>Melissa K Gardner</cp:lastModifiedBy>
  <cp:revision>1</cp:revision>
  <dcterms:created xsi:type="dcterms:W3CDTF">2024-01-23T16:14:00Z</dcterms:created>
  <dcterms:modified xsi:type="dcterms:W3CDTF">2024-01-23T16:15:00Z</dcterms:modified>
</cp:coreProperties>
</file>