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F5" w:rsidRPr="002846D1" w:rsidRDefault="007105F5" w:rsidP="007105F5">
      <w:pPr>
        <w:rPr>
          <w:rFonts w:cstheme="minorHAnsi"/>
          <w:sz w:val="24"/>
          <w:szCs w:val="24"/>
        </w:rPr>
      </w:pPr>
      <w:r w:rsidRPr="002846D1">
        <w:rPr>
          <w:rFonts w:cstheme="minorHAnsi"/>
          <w:sz w:val="24"/>
          <w:szCs w:val="24"/>
        </w:rPr>
        <w:t>Table S2: Simulation Parameters: EB1 Dynamics</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9"/>
        <w:gridCol w:w="1867"/>
        <w:gridCol w:w="2254"/>
        <w:gridCol w:w="1799"/>
        <w:gridCol w:w="2161"/>
      </w:tblGrid>
      <w:tr w:rsidR="007105F5" w:rsidRPr="00F96160" w:rsidTr="00006C86">
        <w:tc>
          <w:tcPr>
            <w:tcW w:w="1279" w:type="dxa"/>
            <w:shd w:val="clear" w:color="auto" w:fill="F2F2F2" w:themeFill="background1" w:themeFillShade="F2"/>
          </w:tcPr>
          <w:p w:rsidR="007105F5" w:rsidRPr="005F5DF9" w:rsidRDefault="007105F5" w:rsidP="00006C86">
            <w:pPr>
              <w:contextualSpacing/>
              <w:rPr>
                <w:rFonts w:cstheme="minorHAnsi"/>
                <w:sz w:val="20"/>
                <w:szCs w:val="20"/>
              </w:rPr>
            </w:pPr>
            <w:r w:rsidRPr="005F5DF9">
              <w:rPr>
                <w:rFonts w:cstheme="minorHAnsi"/>
                <w:sz w:val="20"/>
                <w:szCs w:val="20"/>
              </w:rPr>
              <w:t>Parameter</w:t>
            </w:r>
          </w:p>
        </w:tc>
        <w:tc>
          <w:tcPr>
            <w:tcW w:w="1867" w:type="dxa"/>
            <w:shd w:val="clear" w:color="auto" w:fill="F2F2F2" w:themeFill="background1" w:themeFillShade="F2"/>
          </w:tcPr>
          <w:p w:rsidR="007105F5" w:rsidRPr="005F5DF9" w:rsidRDefault="007105F5" w:rsidP="00006C86">
            <w:pPr>
              <w:contextualSpacing/>
              <w:rPr>
                <w:rFonts w:cstheme="minorHAnsi"/>
                <w:sz w:val="20"/>
                <w:szCs w:val="20"/>
              </w:rPr>
            </w:pPr>
            <w:r w:rsidRPr="005F5DF9">
              <w:rPr>
                <w:rFonts w:cstheme="minorHAnsi"/>
                <w:sz w:val="20"/>
                <w:szCs w:val="20"/>
              </w:rPr>
              <w:t>Description</w:t>
            </w:r>
          </w:p>
        </w:tc>
        <w:tc>
          <w:tcPr>
            <w:tcW w:w="2254" w:type="dxa"/>
            <w:shd w:val="clear" w:color="auto" w:fill="F2F2F2" w:themeFill="background1" w:themeFillShade="F2"/>
          </w:tcPr>
          <w:p w:rsidR="007105F5" w:rsidRPr="005F5DF9" w:rsidRDefault="007105F5" w:rsidP="00006C86">
            <w:pPr>
              <w:contextualSpacing/>
              <w:rPr>
                <w:rFonts w:cstheme="minorHAnsi"/>
                <w:sz w:val="20"/>
                <w:szCs w:val="20"/>
              </w:rPr>
            </w:pPr>
            <w:r w:rsidRPr="005F5DF9">
              <w:rPr>
                <w:rFonts w:cstheme="minorHAnsi"/>
                <w:sz w:val="20"/>
                <w:szCs w:val="20"/>
              </w:rPr>
              <w:t>Simulation Baseline Value</w:t>
            </w:r>
          </w:p>
        </w:tc>
        <w:tc>
          <w:tcPr>
            <w:tcW w:w="1799" w:type="dxa"/>
            <w:shd w:val="clear" w:color="auto" w:fill="F2F2F2" w:themeFill="background1" w:themeFillShade="F2"/>
          </w:tcPr>
          <w:p w:rsidR="007105F5" w:rsidRPr="005F5DF9" w:rsidRDefault="007105F5" w:rsidP="00006C86">
            <w:pPr>
              <w:contextualSpacing/>
              <w:rPr>
                <w:rFonts w:cstheme="minorHAnsi"/>
                <w:sz w:val="20"/>
                <w:szCs w:val="20"/>
              </w:rPr>
            </w:pPr>
            <w:r w:rsidRPr="005F5DF9">
              <w:rPr>
                <w:rFonts w:cstheme="minorHAnsi"/>
                <w:sz w:val="20"/>
                <w:szCs w:val="20"/>
              </w:rPr>
              <w:t>Reported Literature Values</w:t>
            </w:r>
          </w:p>
        </w:tc>
        <w:tc>
          <w:tcPr>
            <w:tcW w:w="2161" w:type="dxa"/>
            <w:shd w:val="clear" w:color="auto" w:fill="F2F2F2" w:themeFill="background1" w:themeFillShade="F2"/>
          </w:tcPr>
          <w:p w:rsidR="007105F5" w:rsidRPr="005F5DF9" w:rsidRDefault="007105F5" w:rsidP="00006C86">
            <w:pPr>
              <w:contextualSpacing/>
              <w:rPr>
                <w:rFonts w:cstheme="minorHAnsi"/>
                <w:sz w:val="20"/>
                <w:szCs w:val="20"/>
              </w:rPr>
            </w:pPr>
            <w:r w:rsidRPr="005F5DF9">
              <w:rPr>
                <w:rFonts w:cstheme="minorHAnsi"/>
                <w:sz w:val="20"/>
                <w:szCs w:val="20"/>
              </w:rPr>
              <w:t>Reference</w:t>
            </w:r>
          </w:p>
        </w:tc>
      </w:tr>
      <w:tr w:rsidR="007105F5" w:rsidRPr="00F96160" w:rsidTr="00006C86">
        <w:tc>
          <w:tcPr>
            <w:tcW w:w="1279"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t>[EB1]</w:t>
            </w:r>
          </w:p>
        </w:tc>
        <w:tc>
          <w:tcPr>
            <w:tcW w:w="1867"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t>Free EB1 concentration in the simulation</w:t>
            </w:r>
          </w:p>
        </w:tc>
        <w:tc>
          <w:tcPr>
            <w:tcW w:w="2254"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t xml:space="preserve">200 </w:t>
            </w:r>
            <w:proofErr w:type="spellStart"/>
            <w:r w:rsidRPr="005F5DF9">
              <w:rPr>
                <w:rFonts w:cstheme="minorHAnsi"/>
                <w:sz w:val="20"/>
                <w:szCs w:val="20"/>
              </w:rPr>
              <w:t>nM</w:t>
            </w:r>
            <w:proofErr w:type="spellEnd"/>
          </w:p>
        </w:tc>
        <w:tc>
          <w:tcPr>
            <w:tcW w:w="1799" w:type="dxa"/>
          </w:tcPr>
          <w:p w:rsidR="007105F5" w:rsidRPr="005F5DF9" w:rsidRDefault="007105F5" w:rsidP="00006C86">
            <w:pPr>
              <w:contextualSpacing/>
              <w:rPr>
                <w:rFonts w:cstheme="minorHAnsi"/>
                <w:sz w:val="20"/>
                <w:szCs w:val="20"/>
              </w:rPr>
            </w:pPr>
            <w:r w:rsidRPr="005F5DF9">
              <w:rPr>
                <w:rFonts w:cstheme="minorHAnsi"/>
                <w:sz w:val="20"/>
                <w:szCs w:val="20"/>
              </w:rPr>
              <w:t>N/A</w:t>
            </w:r>
          </w:p>
        </w:tc>
        <w:tc>
          <w:tcPr>
            <w:tcW w:w="2161"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t>Matched to Experiment</w:t>
            </w:r>
          </w:p>
        </w:tc>
      </w:tr>
      <w:tr w:rsidR="007105F5" w:rsidRPr="00F96160" w:rsidTr="00006C86">
        <w:tc>
          <w:tcPr>
            <w:tcW w:w="1279" w:type="dxa"/>
            <w:shd w:val="clear" w:color="auto" w:fill="auto"/>
          </w:tcPr>
          <w:p w:rsidR="007105F5" w:rsidRPr="005F5DF9" w:rsidRDefault="007105F5" w:rsidP="00006C86">
            <w:pPr>
              <w:contextualSpacing/>
              <w:rPr>
                <w:rFonts w:cstheme="minorHAnsi"/>
                <w:i/>
                <w:sz w:val="20"/>
                <w:szCs w:val="20"/>
              </w:rPr>
            </w:pPr>
            <w:proofErr w:type="spellStart"/>
            <w:r w:rsidRPr="005F5DF9">
              <w:rPr>
                <w:rFonts w:cstheme="minorHAnsi"/>
                <w:i/>
                <w:sz w:val="20"/>
                <w:szCs w:val="20"/>
              </w:rPr>
              <w:t>k</w:t>
            </w:r>
            <w:r w:rsidRPr="005F5DF9">
              <w:rPr>
                <w:rFonts w:cstheme="minorHAnsi"/>
                <w:i/>
                <w:sz w:val="20"/>
                <w:szCs w:val="20"/>
                <w:vertAlign w:val="subscript"/>
              </w:rPr>
              <w:t>on</w:t>
            </w:r>
            <w:proofErr w:type="spellEnd"/>
            <w:r w:rsidRPr="005F5DF9">
              <w:rPr>
                <w:rFonts w:cstheme="minorHAnsi"/>
                <w:i/>
                <w:sz w:val="20"/>
                <w:szCs w:val="20"/>
                <w:vertAlign w:val="subscript"/>
              </w:rPr>
              <w:t>, Lattice</w:t>
            </w:r>
          </w:p>
        </w:tc>
        <w:tc>
          <w:tcPr>
            <w:tcW w:w="1867"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t xml:space="preserve">EB1 on-rate constant per closed-lattice binding site </w:t>
            </w:r>
          </w:p>
          <w:p w:rsidR="007105F5" w:rsidRPr="005F5DF9" w:rsidRDefault="007105F5" w:rsidP="00006C86">
            <w:pPr>
              <w:contextualSpacing/>
              <w:rPr>
                <w:rFonts w:cstheme="minorHAnsi"/>
                <w:sz w:val="20"/>
                <w:szCs w:val="20"/>
              </w:rPr>
            </w:pPr>
            <w:r w:rsidRPr="005F5DF9">
              <w:rPr>
                <w:rFonts w:cstheme="minorHAnsi"/>
                <w:sz w:val="20"/>
                <w:szCs w:val="20"/>
              </w:rPr>
              <w:t>(GTP or GDP)</w:t>
            </w:r>
          </w:p>
        </w:tc>
        <w:tc>
          <w:tcPr>
            <w:tcW w:w="2254" w:type="dxa"/>
            <w:shd w:val="clear" w:color="auto" w:fill="auto"/>
          </w:tcPr>
          <w:p w:rsidR="007105F5" w:rsidRPr="005F5DF9" w:rsidRDefault="007105F5" w:rsidP="00006C86">
            <w:pPr>
              <w:spacing w:after="160"/>
              <w:contextualSpacing/>
              <w:rPr>
                <w:rFonts w:cstheme="minorHAnsi"/>
                <w:sz w:val="20"/>
                <w:szCs w:val="20"/>
                <w:vertAlign w:val="superscript"/>
              </w:rPr>
            </w:pPr>
            <w:r>
              <w:rPr>
                <w:rFonts w:cstheme="minorHAnsi"/>
                <w:sz w:val="20"/>
                <w:szCs w:val="20"/>
              </w:rPr>
              <w:t>~0.09-0.18</w:t>
            </w:r>
            <w:r w:rsidRPr="005F5DF9">
              <w:rPr>
                <w:rFonts w:cstheme="minorHAnsi"/>
                <w:sz w:val="20"/>
                <w:szCs w:val="20"/>
              </w:rPr>
              <w:t xml:space="preserve"> s</w:t>
            </w:r>
            <w:r w:rsidRPr="005F5DF9">
              <w:rPr>
                <w:rFonts w:cstheme="minorHAnsi"/>
                <w:sz w:val="20"/>
                <w:szCs w:val="20"/>
                <w:vertAlign w:val="superscript"/>
              </w:rPr>
              <w:t>-1</w:t>
            </w:r>
            <w:r w:rsidRPr="005F5DF9">
              <w:rPr>
                <w:rFonts w:cstheme="minorHAnsi"/>
                <w:sz w:val="20"/>
                <w:szCs w:val="20"/>
              </w:rPr>
              <w:t xml:space="preserve"> nM</w:t>
            </w:r>
            <w:r w:rsidRPr="005F5DF9">
              <w:rPr>
                <w:rFonts w:cstheme="minorHAnsi"/>
                <w:sz w:val="20"/>
                <w:szCs w:val="20"/>
                <w:vertAlign w:val="superscript"/>
              </w:rPr>
              <w:t>-1</w:t>
            </w:r>
          </w:p>
          <w:p w:rsidR="007105F5" w:rsidRPr="005F5DF9" w:rsidRDefault="007105F5" w:rsidP="00006C86">
            <w:pPr>
              <w:contextualSpacing/>
              <w:rPr>
                <w:rFonts w:cstheme="minorHAnsi"/>
                <w:i/>
                <w:sz w:val="18"/>
                <w:szCs w:val="18"/>
              </w:rPr>
            </w:pPr>
            <w:r w:rsidRPr="005F5DF9">
              <w:rPr>
                <w:rFonts w:cstheme="minorHAnsi"/>
                <w:i/>
                <w:sz w:val="18"/>
                <w:szCs w:val="18"/>
              </w:rPr>
              <w:t>(for comparison purposes, this value was scaled up from 2.3x10</w:t>
            </w:r>
            <w:r w:rsidRPr="005F5DF9">
              <w:rPr>
                <w:rFonts w:cstheme="minorHAnsi"/>
                <w:i/>
                <w:sz w:val="18"/>
                <w:szCs w:val="18"/>
                <w:vertAlign w:val="superscript"/>
              </w:rPr>
              <w:t>-5</w:t>
            </w:r>
            <w:r w:rsidRPr="005F5DF9">
              <w:rPr>
                <w:rFonts w:cstheme="minorHAnsi"/>
                <w:i/>
                <w:sz w:val="18"/>
                <w:szCs w:val="18"/>
              </w:rPr>
              <w:t xml:space="preserve"> nM</w:t>
            </w:r>
            <w:r w:rsidRPr="005F5DF9">
              <w:rPr>
                <w:rFonts w:cstheme="minorHAnsi"/>
                <w:i/>
                <w:sz w:val="18"/>
                <w:szCs w:val="18"/>
                <w:vertAlign w:val="superscript"/>
              </w:rPr>
              <w:t>-1</w:t>
            </w:r>
            <w:r w:rsidRPr="005F5DF9">
              <w:rPr>
                <w:rFonts w:cstheme="minorHAnsi"/>
                <w:i/>
                <w:sz w:val="18"/>
                <w:szCs w:val="18"/>
              </w:rPr>
              <w:t xml:space="preserve"> site</w:t>
            </w:r>
            <w:r w:rsidRPr="005F5DF9">
              <w:rPr>
                <w:rFonts w:cstheme="minorHAnsi"/>
                <w:i/>
                <w:sz w:val="18"/>
                <w:szCs w:val="18"/>
                <w:vertAlign w:val="superscript"/>
              </w:rPr>
              <w:t>-1</w:t>
            </w:r>
            <w:r w:rsidRPr="005F5DF9">
              <w:rPr>
                <w:rFonts w:cstheme="minorHAnsi"/>
                <w:i/>
                <w:sz w:val="18"/>
                <w:szCs w:val="18"/>
              </w:rPr>
              <w:t xml:space="preserve"> s</w:t>
            </w:r>
            <w:r w:rsidRPr="005F5DF9">
              <w:rPr>
                <w:rFonts w:cstheme="minorHAnsi"/>
                <w:i/>
                <w:sz w:val="18"/>
                <w:szCs w:val="18"/>
                <w:vertAlign w:val="superscript"/>
              </w:rPr>
              <w:t xml:space="preserve">-1 </w:t>
            </w:r>
            <w:r w:rsidRPr="005F5DF9">
              <w:rPr>
                <w:rFonts w:cstheme="minorHAnsi"/>
                <w:i/>
                <w:sz w:val="18"/>
                <w:szCs w:val="18"/>
              </w:rPr>
              <w:t xml:space="preserve">using the mean ± </w:t>
            </w:r>
            <w:proofErr w:type="spellStart"/>
            <w:r w:rsidRPr="005F5DF9">
              <w:rPr>
                <w:rFonts w:cstheme="minorHAnsi"/>
                <w:i/>
                <w:sz w:val="18"/>
                <w:szCs w:val="18"/>
              </w:rPr>
              <w:t>sd</w:t>
            </w:r>
            <w:proofErr w:type="spellEnd"/>
            <w:r w:rsidRPr="005F5DF9">
              <w:rPr>
                <w:rFonts w:cstheme="minorHAnsi"/>
                <w:i/>
                <w:sz w:val="18"/>
                <w:szCs w:val="18"/>
              </w:rPr>
              <w:t xml:space="preserve"> of MT </w:t>
            </w:r>
            <w:r>
              <w:rPr>
                <w:rFonts w:cstheme="minorHAnsi"/>
                <w:i/>
                <w:sz w:val="18"/>
                <w:szCs w:val="18"/>
              </w:rPr>
              <w:t>length in simulation</w:t>
            </w:r>
            <w:r w:rsidRPr="005F5DF9">
              <w:rPr>
                <w:rFonts w:cstheme="minorHAnsi"/>
                <w:i/>
                <w:sz w:val="18"/>
                <w:szCs w:val="18"/>
              </w:rPr>
              <w:t>)</w:t>
            </w:r>
          </w:p>
          <w:p w:rsidR="007105F5" w:rsidRDefault="007105F5" w:rsidP="00006C86">
            <w:pPr>
              <w:contextualSpacing/>
              <w:rPr>
                <w:rFonts w:cstheme="minorHAnsi"/>
                <w:i/>
                <w:sz w:val="20"/>
                <w:szCs w:val="20"/>
              </w:rPr>
            </w:pPr>
            <w:r>
              <w:rPr>
                <w:rFonts w:cstheme="minorHAnsi"/>
                <w:i/>
                <w:sz w:val="20"/>
                <w:szCs w:val="20"/>
              </w:rPr>
              <w:t>[</w:t>
            </w:r>
            <w:r w:rsidRPr="007C7941">
              <w:rPr>
                <w:rFonts w:cstheme="minorHAnsi"/>
                <w:i/>
                <w:sz w:val="20"/>
                <w:szCs w:val="20"/>
              </w:rPr>
              <w:t>Figs. 2G, H, S2, S3</w:t>
            </w:r>
            <w:r>
              <w:rPr>
                <w:rFonts w:cstheme="minorHAnsi"/>
                <w:i/>
                <w:sz w:val="20"/>
                <w:szCs w:val="20"/>
              </w:rPr>
              <w:t>: 4.7</w:t>
            </w:r>
            <w:r w:rsidRPr="007C7941">
              <w:rPr>
                <w:rFonts w:cstheme="minorHAnsi"/>
                <w:i/>
                <w:sz w:val="20"/>
                <w:szCs w:val="20"/>
              </w:rPr>
              <w:t>x10</w:t>
            </w:r>
            <w:r>
              <w:rPr>
                <w:rFonts w:cstheme="minorHAnsi"/>
                <w:i/>
                <w:sz w:val="20"/>
                <w:szCs w:val="20"/>
                <w:vertAlign w:val="superscript"/>
              </w:rPr>
              <w:t>-5</w:t>
            </w:r>
            <w:r w:rsidRPr="007C7941">
              <w:rPr>
                <w:rFonts w:cstheme="minorHAnsi"/>
                <w:i/>
                <w:sz w:val="20"/>
                <w:szCs w:val="20"/>
              </w:rPr>
              <w:t xml:space="preserve"> nM</w:t>
            </w:r>
            <w:r w:rsidRPr="007C7941">
              <w:rPr>
                <w:rFonts w:cstheme="minorHAnsi"/>
                <w:i/>
                <w:sz w:val="20"/>
                <w:szCs w:val="20"/>
                <w:vertAlign w:val="superscript"/>
              </w:rPr>
              <w:t>-1</w:t>
            </w:r>
            <w:r w:rsidRPr="007C7941">
              <w:rPr>
                <w:rFonts w:cstheme="minorHAnsi"/>
                <w:i/>
                <w:sz w:val="20"/>
                <w:szCs w:val="20"/>
              </w:rPr>
              <w:t xml:space="preserve"> site</w:t>
            </w:r>
            <w:r w:rsidRPr="007C7941">
              <w:rPr>
                <w:rFonts w:cstheme="minorHAnsi"/>
                <w:i/>
                <w:sz w:val="20"/>
                <w:szCs w:val="20"/>
                <w:vertAlign w:val="superscript"/>
              </w:rPr>
              <w:t>-1</w:t>
            </w:r>
            <w:r w:rsidRPr="007C7941">
              <w:rPr>
                <w:rFonts w:cstheme="minorHAnsi"/>
                <w:i/>
                <w:sz w:val="20"/>
                <w:szCs w:val="20"/>
              </w:rPr>
              <w:t xml:space="preserve"> s</w:t>
            </w:r>
            <w:r w:rsidRPr="007C7941">
              <w:rPr>
                <w:rFonts w:cstheme="minorHAnsi"/>
                <w:i/>
                <w:sz w:val="20"/>
                <w:szCs w:val="20"/>
                <w:vertAlign w:val="superscript"/>
              </w:rPr>
              <w:t>-1</w:t>
            </w:r>
            <w:r>
              <w:rPr>
                <w:rFonts w:cstheme="minorHAnsi"/>
                <w:i/>
                <w:sz w:val="20"/>
                <w:szCs w:val="20"/>
              </w:rPr>
              <w:t xml:space="preserve"> </w:t>
            </w:r>
          </w:p>
          <w:p w:rsidR="007105F5" w:rsidRPr="005F5DF9" w:rsidDel="000C27BA" w:rsidRDefault="007105F5" w:rsidP="00006C86">
            <w:pPr>
              <w:contextualSpacing/>
              <w:rPr>
                <w:rFonts w:cstheme="minorHAnsi"/>
                <w:i/>
                <w:sz w:val="20"/>
                <w:szCs w:val="20"/>
              </w:rPr>
            </w:pPr>
            <w:r>
              <w:rPr>
                <w:rFonts w:cstheme="minorHAnsi"/>
                <w:i/>
                <w:sz w:val="20"/>
                <w:szCs w:val="20"/>
              </w:rPr>
              <w:t>~0.18±0.02 s</w:t>
            </w:r>
            <w:r>
              <w:rPr>
                <w:rFonts w:cstheme="minorHAnsi"/>
                <w:i/>
                <w:sz w:val="20"/>
                <w:szCs w:val="20"/>
                <w:vertAlign w:val="superscript"/>
              </w:rPr>
              <w:t>-1</w:t>
            </w:r>
            <w:r>
              <w:rPr>
                <w:rFonts w:cstheme="minorHAnsi"/>
                <w:i/>
                <w:sz w:val="20"/>
                <w:szCs w:val="20"/>
              </w:rPr>
              <w:t>nM</w:t>
            </w:r>
            <w:r>
              <w:rPr>
                <w:rFonts w:cstheme="minorHAnsi"/>
                <w:i/>
                <w:sz w:val="20"/>
                <w:szCs w:val="20"/>
                <w:vertAlign w:val="superscript"/>
              </w:rPr>
              <w:t>-1</w:t>
            </w:r>
            <w:r>
              <w:rPr>
                <w:rFonts w:cstheme="minorHAnsi"/>
                <w:i/>
                <w:sz w:val="20"/>
                <w:szCs w:val="20"/>
              </w:rPr>
              <w:t>]</w:t>
            </w:r>
          </w:p>
        </w:tc>
        <w:tc>
          <w:tcPr>
            <w:tcW w:w="1799" w:type="dxa"/>
          </w:tcPr>
          <w:p w:rsidR="007105F5" w:rsidRPr="005F5DF9" w:rsidRDefault="007105F5" w:rsidP="00006C86">
            <w:pPr>
              <w:contextualSpacing/>
              <w:rPr>
                <w:rFonts w:cstheme="minorHAnsi"/>
                <w:sz w:val="20"/>
                <w:szCs w:val="20"/>
              </w:rPr>
            </w:pPr>
            <w:r w:rsidRPr="005F5DF9">
              <w:rPr>
                <w:rFonts w:cstheme="minorHAnsi"/>
                <w:sz w:val="20"/>
                <w:szCs w:val="20"/>
              </w:rPr>
              <w:t>~0.12 s</w:t>
            </w:r>
            <w:r w:rsidRPr="005F5DF9">
              <w:rPr>
                <w:rFonts w:cstheme="minorHAnsi"/>
                <w:sz w:val="20"/>
                <w:szCs w:val="20"/>
                <w:vertAlign w:val="superscript"/>
              </w:rPr>
              <w:t>-1</w:t>
            </w:r>
            <w:r w:rsidRPr="005F5DF9">
              <w:rPr>
                <w:rFonts w:cstheme="minorHAnsi"/>
                <w:sz w:val="20"/>
                <w:szCs w:val="20"/>
              </w:rPr>
              <w:t xml:space="preserve"> nM</w:t>
            </w:r>
            <w:r w:rsidRPr="005F5DF9">
              <w:rPr>
                <w:rFonts w:cstheme="minorHAnsi"/>
                <w:sz w:val="20"/>
                <w:szCs w:val="20"/>
                <w:vertAlign w:val="superscript"/>
              </w:rPr>
              <w:t>-1</w:t>
            </w:r>
          </w:p>
        </w:tc>
        <w:tc>
          <w:tcPr>
            <w:tcW w:w="2161"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{"citationID":"vKh8I9zb","properties":{"formattedCitation":"(Maurer et al., 2014; Song et al., 2020)","plainCitation":"(Maurer et al., 2014; Song et al., 2020)","noteIndex":0},"citationItems":[{"id":"MyMROoSN/teUCYsjj","uris":["http://zotero.org/users/local/VgFminvw/items/BP7L5FTF"],"itemData":{"id":"MB5MT8Jr/rcUg0Qih","type":"article-journal","title":"EB1 Accelerates Two Conformational Transitions Important for Microtubule Maturation and Dynamics","container-title":"Current Biology","page":"372-384","volume":"24","issue":"4","source":"DOI.org (Crossref)","DOI":"10.1016/j.cub.2013.12.042","ISSN":"09609822","journalAbbreviation":"Current Biology","language":"en","author":[{"family":"Maurer","given":"Sebastian P."},{"family":"Cade","given":"Nicholas I."},{"family":"Bohner","given":"Gergő"},{"family":"Gustafsson","given":"Nils"},{"family":"Boutant","given":"Emmanuel"},{"family":"Surrey","given":"Thomas"}],"issued":{"date-parts":[["2014",2]]}}},{"id":136,"uris":["http://zotero.org/users/local/RYCfYD2f/items/S2HRMQVL"],"itemData":{"id":136,"type":"article-journal","abstract":"Microtubules dynamics is regulated by the plus end-tracking proteins (+TIPs) in cells. End binding protein 1 (EB1) acts as a master regulator in +TIPs networks by targeting microtubule growing ends and recruiting other factors. However, the molecular mechanism of how EB1 binds to microtubule ends with a high affinity remains to be an open question. Using single-molecule imaging, we show that the end-binding kinetics of EB1 changes along with the polymerizing and hydrolysis rate of tubulin dimers, confirming the binding of EB1 to GTP/GDP-Pi tubulin at microtubule growing ends. The affinity of wild-type EB1 to these sites is higher than monomeric EB1 mutants, suggesting that two CH domains in the dimer contribute to the end-binding. Introducing phosphomimicking mutations into the linker domain of EB1 weakens the end-binding affinity and confers a more curved conformation to EB1 dimer without compromising dimerization, suggesting that the overall architecture of EB1 is important for the end-binding affinity. Taken together, our results provide insights into understanding how the high-affinity end-binding of EB1 can be achieved and how this activity may be regulated in cells.","container-title":"Journal of Cell Science","DOI":"10.1242/jcs.241216","ISSN":"1477-9137, 0021-9533","language":"en","page":"jcs.241216","source":"DOI.org (Crossref)","title":"The dimeric organization that enhances the microtubule end-binding affinity of EB1 is susceptible to phosphorylation","author":[{"family":"Song","given":"Yinlong"},{"family":"Zhang","given":"Yikan"},{"family":"Pan","given":"Ying"},{"family":"He","given":"Jianfeng"},{"family":"Wang","given":"Yan"},{"family":"Chen","given":"Wei"},{"family":"Guo","given":"Jing"},{"family":"Deng","given":"Haiteng"},{"family":"Xue","given":"Yi"},{"family":"Fang","given":"Xianyang"},{"family":"Liang","given":"Xin"}],"issued":{"date-parts":[["2020",1,1]]}}}],"schema":"https://github.com/citation-style-language/schema/raw/master/csl-citation.json"} </w:instrText>
            </w:r>
            <w:r w:rsidRPr="005F5DF9">
              <w:rPr>
                <w:rFonts w:cstheme="minorHAnsi"/>
                <w:sz w:val="20"/>
                <w:szCs w:val="20"/>
              </w:rPr>
              <w:fldChar w:fldCharType="separate"/>
            </w:r>
            <w:r w:rsidRPr="00656802">
              <w:rPr>
                <w:rFonts w:ascii="Calibri" w:hAnsi="Calibri" w:cs="Calibri"/>
                <w:sz w:val="20"/>
              </w:rPr>
              <w:t>(Maurer et al., 2014; Song et al., 2020)</w:t>
            </w:r>
            <w:r w:rsidRPr="005F5DF9">
              <w:rPr>
                <w:rFonts w:cstheme="minorHAnsi"/>
                <w:sz w:val="20"/>
                <w:szCs w:val="20"/>
              </w:rPr>
              <w:fldChar w:fldCharType="end"/>
            </w:r>
          </w:p>
        </w:tc>
      </w:tr>
      <w:tr w:rsidR="007105F5" w:rsidRPr="00F96160" w:rsidTr="00006C86">
        <w:tc>
          <w:tcPr>
            <w:tcW w:w="1279" w:type="dxa"/>
            <w:shd w:val="clear" w:color="auto" w:fill="auto"/>
          </w:tcPr>
          <w:p w:rsidR="007105F5" w:rsidRPr="005F5DF9" w:rsidRDefault="007105F5" w:rsidP="00006C86">
            <w:pPr>
              <w:contextualSpacing/>
              <w:rPr>
                <w:rFonts w:cstheme="minorHAnsi"/>
                <w:i/>
                <w:sz w:val="20"/>
                <w:szCs w:val="20"/>
                <w:vertAlign w:val="subscript"/>
              </w:rPr>
            </w:pPr>
            <w:proofErr w:type="spellStart"/>
            <w:r w:rsidRPr="005F5DF9">
              <w:rPr>
                <w:rFonts w:cstheme="minorHAnsi"/>
                <w:i/>
                <w:sz w:val="20"/>
                <w:szCs w:val="20"/>
              </w:rPr>
              <w:t>k</w:t>
            </w:r>
            <w:r w:rsidRPr="005F5DF9">
              <w:rPr>
                <w:rFonts w:cstheme="minorHAnsi"/>
                <w:i/>
                <w:sz w:val="20"/>
                <w:szCs w:val="20"/>
                <w:vertAlign w:val="subscript"/>
              </w:rPr>
              <w:t>on</w:t>
            </w:r>
            <w:proofErr w:type="spellEnd"/>
            <w:r w:rsidRPr="005F5DF9">
              <w:rPr>
                <w:rFonts w:cstheme="minorHAnsi"/>
                <w:i/>
                <w:sz w:val="20"/>
                <w:szCs w:val="20"/>
                <w:vertAlign w:val="subscript"/>
              </w:rPr>
              <w:t>, Edge</w:t>
            </w:r>
          </w:p>
        </w:tc>
        <w:tc>
          <w:tcPr>
            <w:tcW w:w="1867"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t xml:space="preserve">EB1 on-rate constant per </w:t>
            </w:r>
            <w:proofErr w:type="spellStart"/>
            <w:r w:rsidRPr="005F5DF9">
              <w:rPr>
                <w:rFonts w:cstheme="minorHAnsi"/>
                <w:sz w:val="20"/>
                <w:szCs w:val="20"/>
              </w:rPr>
              <w:t>protofilament</w:t>
            </w:r>
            <w:proofErr w:type="spellEnd"/>
            <w:r w:rsidRPr="005F5DF9">
              <w:rPr>
                <w:rFonts w:cstheme="minorHAnsi"/>
                <w:sz w:val="20"/>
                <w:szCs w:val="20"/>
              </w:rPr>
              <w:t>-edge binding site (GTP or GDP)</w:t>
            </w:r>
          </w:p>
        </w:tc>
        <w:tc>
          <w:tcPr>
            <w:tcW w:w="2254"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t>1.6x10</w:t>
            </w:r>
            <w:r w:rsidRPr="005F5DF9">
              <w:rPr>
                <w:rFonts w:cstheme="minorHAnsi"/>
                <w:sz w:val="20"/>
                <w:szCs w:val="20"/>
                <w:vertAlign w:val="superscript"/>
              </w:rPr>
              <w:t>-3</w:t>
            </w:r>
            <w:r w:rsidRPr="005F5DF9">
              <w:rPr>
                <w:rFonts w:cstheme="minorHAnsi"/>
                <w:sz w:val="20"/>
                <w:szCs w:val="20"/>
              </w:rPr>
              <w:t xml:space="preserve"> nM</w:t>
            </w:r>
            <w:r w:rsidRPr="005F5DF9">
              <w:rPr>
                <w:rFonts w:cstheme="minorHAnsi"/>
                <w:sz w:val="20"/>
                <w:szCs w:val="20"/>
                <w:vertAlign w:val="superscript"/>
              </w:rPr>
              <w:t>-1</w:t>
            </w:r>
            <w:r w:rsidRPr="005F5DF9">
              <w:rPr>
                <w:rFonts w:cstheme="minorHAnsi"/>
                <w:sz w:val="20"/>
                <w:szCs w:val="20"/>
              </w:rPr>
              <w:t xml:space="preserve"> site</w:t>
            </w:r>
            <w:r w:rsidRPr="005F5DF9">
              <w:rPr>
                <w:rFonts w:cstheme="minorHAnsi"/>
                <w:sz w:val="20"/>
                <w:szCs w:val="20"/>
                <w:vertAlign w:val="superscript"/>
              </w:rPr>
              <w:t>-1</w:t>
            </w:r>
            <w:r w:rsidRPr="005F5DF9">
              <w:rPr>
                <w:rFonts w:cstheme="minorHAnsi"/>
                <w:sz w:val="20"/>
                <w:szCs w:val="20"/>
              </w:rPr>
              <w:t xml:space="preserve"> s</w:t>
            </w:r>
            <w:r w:rsidRPr="005F5DF9">
              <w:rPr>
                <w:rFonts w:cstheme="minorHAnsi"/>
                <w:sz w:val="20"/>
                <w:szCs w:val="20"/>
                <w:vertAlign w:val="superscript"/>
              </w:rPr>
              <w:t>-1</w:t>
            </w:r>
            <w:r w:rsidRPr="005F5DF9">
              <w:rPr>
                <w:rFonts w:cstheme="minorHAnsi"/>
                <w:sz w:val="20"/>
                <w:szCs w:val="20"/>
              </w:rPr>
              <w:t xml:space="preserve"> </w:t>
            </w:r>
          </w:p>
          <w:p w:rsidR="007105F5" w:rsidRPr="005F5DF9" w:rsidRDefault="007105F5" w:rsidP="00006C86">
            <w:pPr>
              <w:contextualSpacing/>
              <w:rPr>
                <w:rFonts w:cstheme="minorHAnsi"/>
                <w:i/>
                <w:sz w:val="18"/>
                <w:szCs w:val="18"/>
              </w:rPr>
            </w:pPr>
            <w:r w:rsidRPr="005F5DF9">
              <w:rPr>
                <w:rFonts w:cstheme="minorHAnsi"/>
                <w:i/>
                <w:sz w:val="18"/>
                <w:szCs w:val="18"/>
              </w:rPr>
              <w:t>(70X increase in on-rate at proto. edges)</w:t>
            </w:r>
          </w:p>
          <w:p w:rsidR="007105F5" w:rsidRPr="007C7941" w:rsidRDefault="007105F5" w:rsidP="00006C86">
            <w:pPr>
              <w:contextualSpacing/>
              <w:rPr>
                <w:rFonts w:cstheme="minorHAnsi"/>
                <w:i/>
                <w:sz w:val="20"/>
                <w:szCs w:val="20"/>
              </w:rPr>
            </w:pPr>
            <w:r>
              <w:rPr>
                <w:rFonts w:cstheme="minorHAnsi"/>
                <w:i/>
                <w:sz w:val="20"/>
                <w:szCs w:val="20"/>
              </w:rPr>
              <w:t>[</w:t>
            </w:r>
            <w:r w:rsidRPr="007C7941">
              <w:rPr>
                <w:rFonts w:cstheme="minorHAnsi"/>
                <w:i/>
                <w:sz w:val="20"/>
                <w:szCs w:val="20"/>
              </w:rPr>
              <w:t>Figs. 2G, H, S2, S3</w:t>
            </w:r>
            <w:r>
              <w:rPr>
                <w:rFonts w:cstheme="minorHAnsi"/>
                <w:i/>
                <w:sz w:val="20"/>
                <w:szCs w:val="20"/>
              </w:rPr>
              <w:t>: 2.3</w:t>
            </w:r>
            <w:r w:rsidRPr="007C7941">
              <w:rPr>
                <w:rFonts w:cstheme="minorHAnsi"/>
                <w:i/>
                <w:sz w:val="20"/>
                <w:szCs w:val="20"/>
              </w:rPr>
              <w:t>x10</w:t>
            </w:r>
            <w:r w:rsidRPr="007C7941">
              <w:rPr>
                <w:rFonts w:cstheme="minorHAnsi"/>
                <w:i/>
                <w:sz w:val="20"/>
                <w:szCs w:val="20"/>
                <w:vertAlign w:val="superscript"/>
              </w:rPr>
              <w:t>-3</w:t>
            </w:r>
            <w:r w:rsidRPr="007C7941">
              <w:rPr>
                <w:rFonts w:cstheme="minorHAnsi"/>
                <w:i/>
                <w:sz w:val="20"/>
                <w:szCs w:val="20"/>
              </w:rPr>
              <w:t xml:space="preserve"> nM</w:t>
            </w:r>
            <w:r w:rsidRPr="007C7941">
              <w:rPr>
                <w:rFonts w:cstheme="minorHAnsi"/>
                <w:i/>
                <w:sz w:val="20"/>
                <w:szCs w:val="20"/>
                <w:vertAlign w:val="superscript"/>
              </w:rPr>
              <w:t>-1</w:t>
            </w:r>
            <w:r w:rsidRPr="007C7941">
              <w:rPr>
                <w:rFonts w:cstheme="minorHAnsi"/>
                <w:i/>
                <w:sz w:val="20"/>
                <w:szCs w:val="20"/>
              </w:rPr>
              <w:t xml:space="preserve"> site</w:t>
            </w:r>
            <w:r w:rsidRPr="007C7941">
              <w:rPr>
                <w:rFonts w:cstheme="minorHAnsi"/>
                <w:i/>
                <w:sz w:val="20"/>
                <w:szCs w:val="20"/>
                <w:vertAlign w:val="superscript"/>
              </w:rPr>
              <w:t>-1</w:t>
            </w:r>
            <w:r w:rsidRPr="007C7941">
              <w:rPr>
                <w:rFonts w:cstheme="minorHAnsi"/>
                <w:i/>
                <w:sz w:val="20"/>
                <w:szCs w:val="20"/>
              </w:rPr>
              <w:t xml:space="preserve"> s</w:t>
            </w:r>
            <w:r w:rsidRPr="007C7941">
              <w:rPr>
                <w:rFonts w:cstheme="minorHAnsi"/>
                <w:i/>
                <w:sz w:val="20"/>
                <w:szCs w:val="20"/>
                <w:vertAlign w:val="superscript"/>
              </w:rPr>
              <w:t>-1</w:t>
            </w:r>
            <w:r w:rsidRPr="007C7941">
              <w:rPr>
                <w:rFonts w:cstheme="minorHAnsi"/>
                <w:i/>
                <w:sz w:val="20"/>
                <w:szCs w:val="20"/>
              </w:rPr>
              <w:t xml:space="preserve"> </w:t>
            </w:r>
          </w:p>
          <w:p w:rsidR="007105F5" w:rsidRPr="005F5DF9" w:rsidRDefault="007105F5" w:rsidP="00006C86">
            <w:pPr>
              <w:contextualSpacing/>
              <w:rPr>
                <w:rFonts w:cstheme="minorHAnsi"/>
                <w:i/>
                <w:sz w:val="18"/>
                <w:szCs w:val="18"/>
              </w:rPr>
            </w:pPr>
            <w:r w:rsidRPr="005F5DF9">
              <w:rPr>
                <w:rFonts w:cstheme="minorHAnsi"/>
                <w:i/>
                <w:sz w:val="18"/>
                <w:szCs w:val="18"/>
              </w:rPr>
              <w:t>(50X increase in on-rate at proto. edges)]</w:t>
            </w:r>
          </w:p>
        </w:tc>
        <w:tc>
          <w:tcPr>
            <w:tcW w:w="1799" w:type="dxa"/>
          </w:tcPr>
          <w:p w:rsidR="007105F5" w:rsidRPr="005F5DF9" w:rsidRDefault="007105F5" w:rsidP="00006C86">
            <w:pPr>
              <w:contextualSpacing/>
              <w:rPr>
                <w:rFonts w:cstheme="minorHAnsi"/>
                <w:sz w:val="20"/>
                <w:szCs w:val="20"/>
              </w:rPr>
            </w:pPr>
            <w:r>
              <w:rPr>
                <w:rFonts w:cstheme="minorHAnsi"/>
                <w:sz w:val="20"/>
                <w:szCs w:val="20"/>
              </w:rPr>
              <w:t>50-</w:t>
            </w:r>
            <w:r w:rsidRPr="005F5DF9">
              <w:rPr>
                <w:rFonts w:cstheme="minorHAnsi"/>
                <w:sz w:val="20"/>
                <w:szCs w:val="20"/>
              </w:rPr>
              <w:t>70X faster than lattice sites</w:t>
            </w:r>
          </w:p>
        </w:tc>
        <w:tc>
          <w:tcPr>
            <w:tcW w:w="2161"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{"citationID":"8gbIiLEV","properties":{"formattedCitation":"(Reid et al., 2019)","plainCitation":"(Reid et al., 2019)","noteIndex":0},"citationItems":[{"id":"MyMROoSN/FwlSNQKQ","uris":["http://zotero.org/users/local/VgFminvw/items/95C5TXSE"],"itemData":{"id":"HrACumi4/BT9MA62F","type":"article-journal","title":"Structural state recognition facilitates tip tracking of EB1 at growing microtubule ends","container-title":"eLife","page":"e48117","volume":"8","source":"DOI.org (Crossref)","abstract":"The microtubule binding protein EB1 specifically targets the growing ends of microtubules in cells, where EB1 facilitates the interactions of cellular proteins with microtubule plus-ends. Microtubule end targeting of EB1 has been attributed to high-affinity binding of EB1 to GTP-tubulin that is present at growing microtubule ends. However, our 3D single-molecule diffusion simulations predicted a ~ 6000% increase in EB1 arrivals to open, tapered microtubule tip structures relative to closed lattice conformations. Using quantitative fluorescence, single-molecule, and electron microscopy experiments, we found that the binding of EB1 onto opened, structurally disrupted microtubules was dramatically increased relative to closed, intact microtubules, regardless of hydrolysis state. Correspondingly, in cells, the blunting of growing microtubule plus-ends by Vinblastine was correlated with reduced EB1 targeting. Together, our results suggest that microtubule structural recognition, based on a fundamental diffusion-limited binding model, facilitates the tip tracking of EB1 at growing microtubule ends.","DOI":"10.7554/eLife.48117","ISSN":"2050-084X","language":"en","author":[{"family":"Reid","given":"Taylor A"},{"family":"Coombes","given":"Courtney"},{"family":"Mukherjee","given":"Soumya"},{"family":"Goldblum","given":"Rebecca R"},{"family":"White","given":"Kyle"},{"family":"Parmar","given":"Sneha"},{"family":"McClellan","given":"Mark"},{"family":"Zanic","given":"Marija"},{"family":"Courtemanche","given":"Naomi"},{"family":"Gardner","given":"Melissa K"}],"issued":{"date-parts":[["2019",9,3]]}}}],"schema":"https://github.com/citation-style-language/schema/raw/master/csl-citation.json"}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(Reid et al., 2019)</w:t>
            </w:r>
            <w:r w:rsidRPr="005F5DF9">
              <w:rPr>
                <w:rFonts w:cstheme="minorHAnsi"/>
                <w:sz w:val="20"/>
                <w:szCs w:val="20"/>
              </w:rPr>
              <w:fldChar w:fldCharType="end"/>
            </w:r>
            <w:r w:rsidRPr="005F5DF9" w:rsidDel="00AE4FC9">
              <w:rPr>
                <w:rFonts w:cstheme="minorHAnsi"/>
                <w:sz w:val="20"/>
                <w:szCs w:val="20"/>
              </w:rPr>
              <w:t xml:space="preserve"> </w:t>
            </w:r>
          </w:p>
        </w:tc>
      </w:tr>
      <w:tr w:rsidR="007105F5" w:rsidRPr="00F96160" w:rsidTr="00006C86">
        <w:tc>
          <w:tcPr>
            <w:tcW w:w="1279" w:type="dxa"/>
            <w:shd w:val="clear" w:color="auto" w:fill="auto"/>
          </w:tcPr>
          <w:p w:rsidR="007105F5" w:rsidRPr="005F5DF9" w:rsidRDefault="007105F5" w:rsidP="00006C86">
            <w:pPr>
              <w:contextualSpacing/>
              <w:rPr>
                <w:rFonts w:cstheme="minorHAnsi"/>
                <w:i/>
                <w:sz w:val="20"/>
                <w:szCs w:val="20"/>
              </w:rPr>
            </w:pPr>
            <w:proofErr w:type="spellStart"/>
            <w:r w:rsidRPr="005F5DF9">
              <w:rPr>
                <w:rFonts w:cstheme="minorHAnsi"/>
                <w:i/>
                <w:sz w:val="20"/>
                <w:szCs w:val="20"/>
              </w:rPr>
              <w:t>k</w:t>
            </w:r>
            <w:r w:rsidRPr="005F5DF9">
              <w:rPr>
                <w:rFonts w:cstheme="minorHAnsi"/>
                <w:i/>
                <w:sz w:val="20"/>
                <w:szCs w:val="20"/>
                <w:vertAlign w:val="subscript"/>
              </w:rPr>
              <w:t>off</w:t>
            </w:r>
            <w:proofErr w:type="spellEnd"/>
            <w:r w:rsidRPr="005F5DF9">
              <w:rPr>
                <w:rFonts w:cstheme="minorHAnsi"/>
                <w:i/>
                <w:sz w:val="20"/>
                <w:szCs w:val="20"/>
                <w:vertAlign w:val="subscript"/>
              </w:rPr>
              <w:t>, GDP Lattice</w:t>
            </w:r>
          </w:p>
        </w:tc>
        <w:tc>
          <w:tcPr>
            <w:tcW w:w="1867"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t>EB1 off-rate constant from GDP closed-lattice sites</w:t>
            </w:r>
          </w:p>
        </w:tc>
        <w:tc>
          <w:tcPr>
            <w:tcW w:w="2254" w:type="dxa"/>
            <w:shd w:val="clear" w:color="auto" w:fill="auto"/>
          </w:tcPr>
          <w:p w:rsidR="007105F5" w:rsidRDefault="007105F5" w:rsidP="00006C86">
            <w:pPr>
              <w:spacing w:line="259" w:lineRule="auto"/>
              <w:rPr>
                <w:rFonts w:cstheme="minorHAnsi"/>
                <w:iCs/>
                <w:sz w:val="20"/>
                <w:szCs w:val="20"/>
              </w:rPr>
            </w:pPr>
            <w:r w:rsidRPr="00803C9C">
              <w:rPr>
                <w:rFonts w:cstheme="minorHAnsi"/>
                <w:iCs/>
                <w:sz w:val="20"/>
                <w:szCs w:val="20"/>
              </w:rPr>
              <w:t>1.7</w:t>
            </w:r>
            <w:r>
              <w:rPr>
                <w:rFonts w:cstheme="minorHAnsi"/>
                <w:iCs/>
                <w:sz w:val="20"/>
                <w:szCs w:val="20"/>
              </w:rPr>
              <w:t>-3.3</w:t>
            </w:r>
            <w:r w:rsidRPr="00803C9C">
              <w:rPr>
                <w:rFonts w:cstheme="minorHAnsi"/>
                <w:iCs/>
                <w:sz w:val="20"/>
                <w:szCs w:val="20"/>
              </w:rPr>
              <w:t xml:space="preserve"> s</w:t>
            </w:r>
            <w:r w:rsidRPr="00803C9C">
              <w:rPr>
                <w:rFonts w:cstheme="minorHAnsi"/>
                <w:iCs/>
                <w:sz w:val="20"/>
                <w:szCs w:val="20"/>
                <w:vertAlign w:val="superscript"/>
              </w:rPr>
              <w:t>-1</w:t>
            </w:r>
            <w:r>
              <w:rPr>
                <w:rFonts w:cstheme="minorHAnsi"/>
                <w:iCs/>
                <w:sz w:val="20"/>
                <w:szCs w:val="20"/>
              </w:rPr>
              <w:t xml:space="preserve"> </w:t>
            </w:r>
          </w:p>
          <w:p w:rsidR="007105F5" w:rsidRDefault="007105F5" w:rsidP="00006C86">
            <w:pPr>
              <w:spacing w:line="259" w:lineRule="auto"/>
              <w:rPr>
                <w:rFonts w:cstheme="minorHAnsi"/>
                <w:iCs/>
                <w:sz w:val="20"/>
                <w:szCs w:val="20"/>
              </w:rPr>
            </w:pPr>
          </w:p>
          <w:p w:rsidR="007105F5" w:rsidRDefault="007105F5" w:rsidP="00006C86">
            <w:pPr>
              <w:contextualSpacing/>
              <w:rPr>
                <w:rFonts w:cstheme="minorHAnsi"/>
                <w:i/>
                <w:sz w:val="20"/>
                <w:szCs w:val="20"/>
              </w:rPr>
            </w:pPr>
            <w:r>
              <w:rPr>
                <w:rFonts w:cstheme="minorHAnsi"/>
                <w:i/>
                <w:iCs/>
                <w:sz w:val="20"/>
                <w:szCs w:val="20"/>
              </w:rPr>
              <w:t>[</w:t>
            </w:r>
            <w:r w:rsidRPr="007C7941">
              <w:rPr>
                <w:rFonts w:cstheme="minorHAnsi"/>
                <w:i/>
                <w:sz w:val="20"/>
                <w:szCs w:val="20"/>
              </w:rPr>
              <w:t>Figs. 2G, H, S2, S3</w:t>
            </w:r>
            <w:r>
              <w:rPr>
                <w:rFonts w:cstheme="minorHAnsi"/>
                <w:i/>
                <w:sz w:val="20"/>
                <w:szCs w:val="20"/>
              </w:rPr>
              <w:t xml:space="preserve">: </w:t>
            </w:r>
          </w:p>
          <w:p w:rsidR="007105F5" w:rsidRPr="005F5DF9" w:rsidRDefault="007105F5" w:rsidP="00006C86">
            <w:pPr>
              <w:contextualSpacing/>
              <w:rPr>
                <w:rFonts w:cstheme="minorHAnsi"/>
                <w:i/>
                <w:sz w:val="20"/>
                <w:szCs w:val="20"/>
              </w:rPr>
            </w:pPr>
            <w:r w:rsidRPr="005F5DF9">
              <w:rPr>
                <w:rFonts w:cstheme="minorHAnsi"/>
                <w:i/>
                <w:iCs/>
                <w:sz w:val="20"/>
                <w:szCs w:val="20"/>
              </w:rPr>
              <w:t>3.3 s</w:t>
            </w:r>
            <w:r w:rsidRPr="005F5DF9">
              <w:rPr>
                <w:rFonts w:cstheme="minorHAnsi"/>
                <w:i/>
                <w:iCs/>
                <w:sz w:val="20"/>
                <w:szCs w:val="20"/>
                <w:vertAlign w:val="superscript"/>
              </w:rPr>
              <w:t>-1</w:t>
            </w:r>
            <w:r>
              <w:rPr>
                <w:rFonts w:cstheme="minorHAnsi"/>
                <w:i/>
                <w:iCs/>
                <w:sz w:val="20"/>
                <w:szCs w:val="20"/>
              </w:rPr>
              <w:t>]</w:t>
            </w:r>
          </w:p>
        </w:tc>
        <w:tc>
          <w:tcPr>
            <w:tcW w:w="1799" w:type="dxa"/>
          </w:tcPr>
          <w:p w:rsidR="007105F5" w:rsidRPr="005F5DF9" w:rsidRDefault="007105F5" w:rsidP="00006C86">
            <w:pPr>
              <w:contextualSpacing/>
              <w:rPr>
                <w:rFonts w:cstheme="minorHAnsi"/>
                <w:sz w:val="20"/>
                <w:szCs w:val="20"/>
              </w:rPr>
            </w:pPr>
            <w:r w:rsidRPr="005F5DF9">
              <w:rPr>
                <w:rFonts w:cstheme="minorHAnsi"/>
                <w:sz w:val="20"/>
                <w:szCs w:val="20"/>
              </w:rPr>
              <w:t>3.4±0.2 s</w:t>
            </w:r>
            <w:r w:rsidRPr="005F5DF9">
              <w:rPr>
                <w:rFonts w:cstheme="minorHAnsi"/>
                <w:sz w:val="20"/>
                <w:szCs w:val="20"/>
                <w:vertAlign w:val="superscript"/>
              </w:rPr>
              <w:t>-1</w:t>
            </w:r>
          </w:p>
        </w:tc>
        <w:tc>
          <w:tcPr>
            <w:tcW w:w="2161"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{"citationID":"EVg8rySd","properties":{"formattedCitation":"(Maurer et al., 2014; Song et al., 2020)","plainCitation":"(Maurer et al., 2014; Song et al., 2020)","noteIndex":0},"citationItems":[{"id":"MyMROoSN/teUCYsjj","uris":["http://zotero.org/users/local/VgFminvw/items/BP7L5FTF"],"itemData":{"id":"MB5MT8Jr/rcUg0Qih","type":"article-journal","title":"EB1 Accelerates Two Conformational Transitions Important for Microtubule Maturation and Dynamics","container-title":"Current Biology","page":"372-384","volume":"24","issue":"4","source":"DOI.org (Crossref)","DOI":"10.1016/j.cub.2013.12.042","ISSN":"09609822","journalAbbreviation":"Current Biology","language":"en","author":[{"family":"Maurer","given":"Sebastian P."},{"family":"Cade","given":"Nicholas I."},{"family":"Bohner","given":"Gergő"},{"family":"Gustafsson","given":"Nils"},{"family":"Boutant","given":"Emmanuel"},{"family":"Surrey","given":"Thomas"}],"issued":{"date-parts":[["2014",2]]}}},{"id":136,"uris":["http://zotero.org/users/local/RYCfYD2f/items/S2HRMQVL"],"itemData":{"id":136,"type":"article-journal","abstract":"Microtubules dynamics is regulated by the plus end-tracking proteins (+TIPs) in cells. End binding protein 1 (EB1) acts as a master regulator in +TIPs networks by targeting microtubule growing ends and recruiting other factors. However, the molecular mechanism of how EB1 binds to microtubule ends with a high affinity remains to be an open question. Using single-molecule imaging, we show that the end-binding kinetics of EB1 changes along with the polymerizing and hydrolysis rate of tubulin dimers, confirming the binding of EB1 to GTP/GDP-Pi tubulin at microtubule growing ends. The affinity of wild-type EB1 to these sites is higher than monomeric EB1 mutants, suggesting that two CH domains in the dimer contribute to the end-binding. Introducing phosphomimicking mutations into the linker domain of EB1 weakens the end-binding affinity and confers a more curved conformation to EB1 dimer without compromising dimerization, suggesting that the overall architecture of EB1 is important for the end-binding affinity. Taken together, our results provide insights into understanding how the high-affinity end-binding of EB1 can be achieved and how this activity may be regulated in cells.","container-title":"Journal of Cell Science","DOI":"10.1242/jcs.241216","ISSN":"1477-9137, 0021-9533","language":"en","page":"jcs.241216","source":"DOI.org (Crossref)","title":"The dimeric organization that enhances the microtubule end-binding affinity of EB1 is susceptible to phosphorylation","author":[{"family":"Song","given":"Yinlong"},{"family":"Zhang","given":"Yikan"},{"family":"Pan","given":"Ying"},{"family":"He","given":"Jianfeng"},{"family":"Wang","given":"Yan"},{"family":"Chen","given":"Wei"},{"family":"Guo","given":"Jing"},{"family":"Deng","given":"Haiteng"},{"family":"Xue","given":"Yi"},{"family":"Fang","given":"Xianyang"},{"family":"Liang","given":"Xin"}],"issued":{"date-parts":[["2020",1,1]]}}}],"schema":"https://github.com/citation-style-language/schema/raw/master/csl-citation.json"} </w:instrText>
            </w:r>
            <w:r w:rsidRPr="005F5DF9">
              <w:rPr>
                <w:rFonts w:cstheme="minorHAnsi"/>
                <w:sz w:val="20"/>
                <w:szCs w:val="20"/>
              </w:rPr>
              <w:fldChar w:fldCharType="separate"/>
            </w:r>
            <w:r w:rsidRPr="00656802">
              <w:rPr>
                <w:rFonts w:ascii="Calibri" w:hAnsi="Calibri" w:cs="Calibri"/>
                <w:sz w:val="20"/>
              </w:rPr>
              <w:t>(Maurer et al., 2014; Song et al., 2020)</w:t>
            </w:r>
            <w:r w:rsidRPr="005F5DF9">
              <w:rPr>
                <w:rFonts w:cstheme="minorHAnsi"/>
                <w:sz w:val="20"/>
                <w:szCs w:val="20"/>
              </w:rPr>
              <w:fldChar w:fldCharType="end"/>
            </w:r>
          </w:p>
        </w:tc>
      </w:tr>
      <w:tr w:rsidR="007105F5" w:rsidRPr="00F96160" w:rsidTr="00006C86">
        <w:tc>
          <w:tcPr>
            <w:tcW w:w="1279" w:type="dxa"/>
            <w:shd w:val="clear" w:color="auto" w:fill="auto"/>
          </w:tcPr>
          <w:p w:rsidR="007105F5" w:rsidRPr="005F5DF9" w:rsidRDefault="007105F5" w:rsidP="00006C86">
            <w:pPr>
              <w:contextualSpacing/>
              <w:rPr>
                <w:rFonts w:cstheme="minorHAnsi"/>
                <w:i/>
                <w:sz w:val="20"/>
                <w:szCs w:val="20"/>
              </w:rPr>
            </w:pPr>
            <w:proofErr w:type="spellStart"/>
            <w:r w:rsidRPr="005F5DF9">
              <w:rPr>
                <w:rFonts w:cstheme="minorHAnsi"/>
                <w:i/>
                <w:sz w:val="20"/>
                <w:szCs w:val="20"/>
              </w:rPr>
              <w:t>k</w:t>
            </w:r>
            <w:r w:rsidRPr="005F5DF9">
              <w:rPr>
                <w:rFonts w:cstheme="minorHAnsi"/>
                <w:i/>
                <w:sz w:val="20"/>
                <w:szCs w:val="20"/>
                <w:vertAlign w:val="subscript"/>
              </w:rPr>
              <w:t>off</w:t>
            </w:r>
            <w:proofErr w:type="spellEnd"/>
            <w:r w:rsidRPr="005F5DF9">
              <w:rPr>
                <w:rFonts w:cstheme="minorHAnsi"/>
                <w:i/>
                <w:sz w:val="20"/>
                <w:szCs w:val="20"/>
                <w:vertAlign w:val="subscript"/>
              </w:rPr>
              <w:t>, GTP Lattice</w:t>
            </w:r>
          </w:p>
        </w:tc>
        <w:tc>
          <w:tcPr>
            <w:tcW w:w="1867"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t>EB1 off-rate constant from GTP closed-lattice sites</w:t>
            </w:r>
          </w:p>
        </w:tc>
        <w:tc>
          <w:tcPr>
            <w:tcW w:w="2254" w:type="dxa"/>
            <w:shd w:val="clear" w:color="auto" w:fill="auto"/>
          </w:tcPr>
          <w:p w:rsidR="007105F5" w:rsidRPr="005F5DF9" w:rsidRDefault="007105F5" w:rsidP="00006C86">
            <w:pPr>
              <w:contextualSpacing/>
              <w:rPr>
                <w:rFonts w:cstheme="minorHAnsi"/>
                <w:sz w:val="20"/>
                <w:szCs w:val="20"/>
                <w:vertAlign w:val="superscript"/>
              </w:rPr>
            </w:pPr>
            <w:r w:rsidRPr="005F5DF9">
              <w:rPr>
                <w:rFonts w:cstheme="minorHAnsi"/>
                <w:sz w:val="20"/>
                <w:szCs w:val="20"/>
              </w:rPr>
              <w:t>0.29 s</w:t>
            </w:r>
            <w:r w:rsidRPr="005F5DF9">
              <w:rPr>
                <w:rFonts w:cstheme="minorHAnsi"/>
                <w:sz w:val="20"/>
                <w:szCs w:val="20"/>
                <w:vertAlign w:val="superscript"/>
              </w:rPr>
              <w:t>-1</w:t>
            </w:r>
          </w:p>
        </w:tc>
        <w:tc>
          <w:tcPr>
            <w:tcW w:w="1799" w:type="dxa"/>
          </w:tcPr>
          <w:p w:rsidR="007105F5" w:rsidRPr="005F5DF9" w:rsidRDefault="007105F5" w:rsidP="00006C86">
            <w:pPr>
              <w:contextualSpacing/>
              <w:rPr>
                <w:rFonts w:cstheme="minorHAnsi"/>
                <w:sz w:val="20"/>
                <w:szCs w:val="20"/>
              </w:rPr>
            </w:pPr>
            <w:r>
              <w:rPr>
                <w:rFonts w:cstheme="minorHAnsi"/>
                <w:sz w:val="20"/>
                <w:szCs w:val="20"/>
              </w:rPr>
              <w:t>~</w:t>
            </w:r>
            <w:r w:rsidRPr="005F5DF9">
              <w:rPr>
                <w:rFonts w:cstheme="minorHAnsi"/>
                <w:sz w:val="20"/>
                <w:szCs w:val="20"/>
              </w:rPr>
              <w:t>0.38 s</w:t>
            </w:r>
            <w:r w:rsidRPr="005F5DF9">
              <w:rPr>
                <w:rFonts w:cstheme="minorHAnsi"/>
                <w:sz w:val="20"/>
                <w:szCs w:val="20"/>
                <w:vertAlign w:val="superscript"/>
              </w:rPr>
              <w:t>-1</w:t>
            </w:r>
            <w:r w:rsidRPr="005F5DF9">
              <w:rPr>
                <w:rFonts w:cstheme="minorHAnsi"/>
                <w:sz w:val="20"/>
                <w:szCs w:val="20"/>
              </w:rPr>
              <w:t xml:space="preserve"> </w:t>
            </w:r>
          </w:p>
          <w:p w:rsidR="007105F5" w:rsidRPr="005F5DF9" w:rsidRDefault="007105F5" w:rsidP="00006C86">
            <w:pPr>
              <w:contextualSpacing/>
              <w:rPr>
                <w:rFonts w:cstheme="minorHAnsi"/>
                <w:i/>
                <w:sz w:val="18"/>
                <w:szCs w:val="18"/>
              </w:rPr>
            </w:pPr>
            <w:r w:rsidRPr="005F5DF9">
              <w:rPr>
                <w:rFonts w:cstheme="minorHAnsi"/>
                <w:i/>
                <w:sz w:val="18"/>
                <w:szCs w:val="18"/>
              </w:rPr>
              <w:t xml:space="preserve">(Estimated from </w:t>
            </w:r>
          </w:p>
          <w:p w:rsidR="007105F5" w:rsidRPr="005F5DF9" w:rsidRDefault="007105F5" w:rsidP="00006C86">
            <w:pPr>
              <w:contextualSpacing/>
              <w:rPr>
                <w:rFonts w:cstheme="minorHAnsi"/>
                <w:i/>
                <w:sz w:val="20"/>
                <w:szCs w:val="20"/>
              </w:rPr>
            </w:pPr>
            <w:proofErr w:type="spellStart"/>
            <w:r w:rsidRPr="005F5DF9">
              <w:rPr>
                <w:rFonts w:cstheme="minorHAnsi"/>
                <w:i/>
                <w:sz w:val="18"/>
                <w:szCs w:val="18"/>
              </w:rPr>
              <w:t>k</w:t>
            </w:r>
            <w:r w:rsidRPr="005F5DF9">
              <w:rPr>
                <w:rFonts w:cstheme="minorHAnsi"/>
                <w:i/>
                <w:sz w:val="18"/>
                <w:szCs w:val="18"/>
                <w:vertAlign w:val="subscript"/>
              </w:rPr>
              <w:t>off</w:t>
            </w:r>
            <w:proofErr w:type="spellEnd"/>
            <w:r w:rsidRPr="005F5DF9">
              <w:rPr>
                <w:rFonts w:cstheme="minorHAnsi"/>
                <w:i/>
                <w:sz w:val="18"/>
                <w:szCs w:val="18"/>
                <w:vertAlign w:val="subscript"/>
              </w:rPr>
              <w:t>, lattice</w:t>
            </w:r>
            <w:r w:rsidRPr="005F5DF9">
              <w:rPr>
                <w:rFonts w:cstheme="minorHAnsi"/>
                <w:i/>
                <w:sz w:val="18"/>
                <w:szCs w:val="18"/>
              </w:rPr>
              <w:t xml:space="preserve"> above, and reported </w:t>
            </w:r>
            <w:proofErr w:type="spellStart"/>
            <w:r w:rsidRPr="005F5DF9">
              <w:rPr>
                <w:rFonts w:cstheme="minorHAnsi"/>
                <w:i/>
                <w:sz w:val="18"/>
                <w:szCs w:val="18"/>
              </w:rPr>
              <w:t>K</w:t>
            </w:r>
            <w:r w:rsidRPr="005F5DF9">
              <w:rPr>
                <w:rFonts w:cstheme="minorHAnsi"/>
                <w:i/>
                <w:sz w:val="18"/>
                <w:szCs w:val="18"/>
                <w:vertAlign w:val="subscript"/>
              </w:rPr>
              <w:t>d</w:t>
            </w:r>
            <w:proofErr w:type="spellEnd"/>
            <w:r w:rsidRPr="005F5DF9">
              <w:rPr>
                <w:rFonts w:cstheme="minorHAnsi"/>
                <w:i/>
                <w:sz w:val="18"/>
                <w:szCs w:val="18"/>
              </w:rPr>
              <w:t xml:space="preserve"> ratio for </w:t>
            </w:r>
            <w:proofErr w:type="spellStart"/>
            <w:r w:rsidRPr="005F5DF9">
              <w:rPr>
                <w:rFonts w:cstheme="minorHAnsi"/>
                <w:i/>
                <w:sz w:val="18"/>
                <w:szCs w:val="18"/>
              </w:rPr>
              <w:t>tip:GDP</w:t>
            </w:r>
            <w:proofErr w:type="spellEnd"/>
            <w:r w:rsidRPr="005F5DF9">
              <w:rPr>
                <w:rFonts w:cstheme="minorHAnsi"/>
                <w:i/>
                <w:sz w:val="18"/>
                <w:szCs w:val="18"/>
              </w:rPr>
              <w:t xml:space="preserve"> [=] 285/31 = 9)</w:t>
            </w:r>
          </w:p>
        </w:tc>
        <w:tc>
          <w:tcPr>
            <w:tcW w:w="2161"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{"citationID":"nzyhWLXh","properties":{"formattedCitation":"(Maurer et al., 2014; Song et al., 2020)","plainCitation":"(Maurer et al., 2014; Song et al., 2020)","noteIndex":0},"citationItems":[{"id":"MyMROoSN/teUCYsjj","uris":["http://zotero.org/users/local/VgFminvw/items/BP7L5FTF"],"itemData":{"id":"MB5MT8Jr/rcUg0Qih","type":"article-journal","title":"EB1 Accelerates Two Conformational Transitions Important for Microtubule Maturation and Dynamics","container-title":"Current Biology","page":"372-384","volume":"24","issue":"4","source":"DOI.org (Crossref)","DOI":"10.1016/j.cub.2013.12.042","ISSN":"09609822","journalAbbreviation":"Current Biology","language":"en","author":[{"family":"Maurer","given":"Sebastian P."},{"family":"Cade","given":"Nicholas I."},{"family":"Bohner","given":"Gergő"},{"family":"Gustafsson","given":"Nils"},{"family":"Boutant","given":"Emmanuel"},{"family":"Surrey","given":"Thomas"}],"issued":{"date-parts":[["2014",2]]}}},{"id":136,"uris":["http://zotero.org/users/local/RYCfYD2f/items/S2HRMQVL"],"itemData":{"id":136,"type":"article-journal","abstract":"Microtubules dynamics is regulated by the plus end-tracking proteins (+TIPs) in cells. End binding protein 1 (EB1) acts as a master regulator in +TIPs networks by targeting microtubule growing ends and recruiting other factors. However, the molecular mechanism of how EB1 binds to microtubule ends with a high affinity remains to be an open question. Using single-molecule imaging, we show that the end-binding kinetics of EB1 changes along with the polymerizing and hydrolysis rate of tubulin dimers, confirming the binding of EB1 to GTP/GDP-Pi tubulin at microtubule growing ends. The affinity of wild-type EB1 to these sites is higher than monomeric EB1 mutants, suggesting that two CH domains in the dimer contribute to the end-binding. Introducing phosphomimicking mutations into the linker domain of EB1 weakens the end-binding affinity and confers a more curved conformation to EB1 dimer without compromising dimerization, suggesting that the overall architecture of EB1 is important for the end-binding affinity. Taken together, our results provide insights into understanding how the high-affinity end-binding of EB1 can be achieved and how this activity may be regulated in cells.","container-title":"Journal of Cell Science","DOI":"10.1242/jcs.241216","ISSN":"1477-9137, 0021-9533","language":"en","page":"jcs.241216","source":"DOI.org (Crossref)","title":"The dimeric organization that enhances the microtubule end-binding affinity of EB1 is susceptible to phosphorylation","author":[{"family":"Song","given":"Yinlong"},{"family":"Zhang","given":"Yikan"},{"family":"Pan","given":"Ying"},{"family":"He","given":"Jianfeng"},{"family":"Wang","given":"Yan"},{"family":"Chen","given":"Wei"},{"family":"Guo","given":"Jing"},{"family":"Deng","given":"Haiteng"},{"family":"Xue","given":"Yi"},{"family":"Fang","given":"Xianyang"},{"family":"Liang","given":"Xin"}],"issued":{"date-parts":[["2020",1,1]]}}}],"schema":"https://github.com/citation-style-language/schema/raw/master/csl-citation.json"} </w:instrText>
            </w:r>
            <w:r w:rsidRPr="005F5DF9">
              <w:rPr>
                <w:rFonts w:cstheme="minorHAnsi"/>
                <w:sz w:val="20"/>
                <w:szCs w:val="20"/>
              </w:rPr>
              <w:fldChar w:fldCharType="separate"/>
            </w:r>
            <w:r w:rsidRPr="00656802">
              <w:rPr>
                <w:rFonts w:ascii="Calibri" w:hAnsi="Calibri" w:cs="Calibri"/>
                <w:sz w:val="20"/>
              </w:rPr>
              <w:t>(Maurer et al., 2014; Song et al., 2020)</w:t>
            </w:r>
            <w:r w:rsidRPr="005F5DF9">
              <w:rPr>
                <w:rFonts w:cstheme="minorHAnsi"/>
                <w:sz w:val="20"/>
                <w:szCs w:val="20"/>
              </w:rPr>
              <w:fldChar w:fldCharType="end"/>
            </w:r>
          </w:p>
        </w:tc>
      </w:tr>
      <w:tr w:rsidR="007105F5" w:rsidRPr="00F96160" w:rsidTr="00006C86">
        <w:tc>
          <w:tcPr>
            <w:tcW w:w="1279" w:type="dxa"/>
            <w:shd w:val="clear" w:color="auto" w:fill="auto"/>
          </w:tcPr>
          <w:p w:rsidR="007105F5" w:rsidRPr="005F5DF9" w:rsidRDefault="007105F5" w:rsidP="00006C86">
            <w:pPr>
              <w:contextualSpacing/>
              <w:rPr>
                <w:rFonts w:cstheme="minorHAnsi"/>
                <w:i/>
                <w:sz w:val="20"/>
                <w:szCs w:val="20"/>
              </w:rPr>
            </w:pPr>
            <w:proofErr w:type="spellStart"/>
            <w:r w:rsidRPr="005F5DF9">
              <w:rPr>
                <w:rFonts w:cstheme="minorHAnsi"/>
                <w:i/>
                <w:sz w:val="20"/>
                <w:szCs w:val="20"/>
              </w:rPr>
              <w:t>k</w:t>
            </w:r>
            <w:r w:rsidRPr="005F5DF9">
              <w:rPr>
                <w:rFonts w:cstheme="minorHAnsi"/>
                <w:i/>
                <w:sz w:val="20"/>
                <w:szCs w:val="20"/>
                <w:vertAlign w:val="subscript"/>
              </w:rPr>
              <w:t>off</w:t>
            </w:r>
            <w:proofErr w:type="spellEnd"/>
            <w:r w:rsidRPr="005F5DF9">
              <w:rPr>
                <w:rFonts w:cstheme="minorHAnsi"/>
                <w:i/>
                <w:sz w:val="20"/>
                <w:szCs w:val="20"/>
                <w:vertAlign w:val="subscript"/>
              </w:rPr>
              <w:t>, GTP Edge</w:t>
            </w:r>
          </w:p>
        </w:tc>
        <w:tc>
          <w:tcPr>
            <w:tcW w:w="1867"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t xml:space="preserve">EB1 off-rate constant from GTP </w:t>
            </w:r>
            <w:proofErr w:type="spellStart"/>
            <w:r w:rsidRPr="005F5DF9">
              <w:rPr>
                <w:rFonts w:cstheme="minorHAnsi"/>
                <w:sz w:val="20"/>
                <w:szCs w:val="20"/>
              </w:rPr>
              <w:t>protofilament</w:t>
            </w:r>
            <w:proofErr w:type="spellEnd"/>
            <w:r w:rsidRPr="005F5DF9">
              <w:rPr>
                <w:rFonts w:cstheme="minorHAnsi"/>
                <w:sz w:val="20"/>
                <w:szCs w:val="20"/>
              </w:rPr>
              <w:t>-edge sites</w:t>
            </w:r>
          </w:p>
        </w:tc>
        <w:tc>
          <w:tcPr>
            <w:tcW w:w="2254"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rPr>
              <w:t>2.9 s</w:t>
            </w:r>
            <w:r w:rsidRPr="005F5DF9">
              <w:rPr>
                <w:rFonts w:cstheme="minorHAnsi"/>
                <w:sz w:val="20"/>
                <w:szCs w:val="20"/>
                <w:vertAlign w:val="superscript"/>
              </w:rPr>
              <w:t>-1</w:t>
            </w:r>
            <w:r w:rsidRPr="005F5DF9">
              <w:rPr>
                <w:rFonts w:cstheme="minorHAnsi"/>
                <w:sz w:val="20"/>
                <w:szCs w:val="20"/>
              </w:rPr>
              <w:t xml:space="preserve"> </w:t>
            </w:r>
          </w:p>
          <w:p w:rsidR="007105F5" w:rsidRPr="005F5DF9" w:rsidRDefault="007105F5" w:rsidP="00006C86">
            <w:pPr>
              <w:contextualSpacing/>
              <w:rPr>
                <w:rFonts w:cstheme="minorHAnsi"/>
                <w:i/>
                <w:sz w:val="18"/>
                <w:szCs w:val="18"/>
              </w:rPr>
            </w:pPr>
            <w:r w:rsidRPr="005F5DF9">
              <w:rPr>
                <w:rFonts w:cstheme="minorHAnsi"/>
                <w:i/>
                <w:sz w:val="18"/>
                <w:szCs w:val="18"/>
              </w:rPr>
              <w:t>(10X increase from GTP closed-lattice sites)</w:t>
            </w:r>
          </w:p>
        </w:tc>
        <w:tc>
          <w:tcPr>
            <w:tcW w:w="1799" w:type="dxa"/>
          </w:tcPr>
          <w:p w:rsidR="007105F5" w:rsidRPr="005F5DF9" w:rsidRDefault="007105F5" w:rsidP="00006C86">
            <w:pPr>
              <w:contextualSpacing/>
              <w:rPr>
                <w:rFonts w:cstheme="minorHAnsi"/>
                <w:sz w:val="20"/>
                <w:szCs w:val="20"/>
              </w:rPr>
            </w:pPr>
            <w:r w:rsidRPr="005F5DF9">
              <w:rPr>
                <w:rFonts w:cstheme="minorHAnsi"/>
                <w:sz w:val="20"/>
                <w:szCs w:val="20"/>
              </w:rPr>
              <w:t>N/A</w:t>
            </w:r>
          </w:p>
        </w:tc>
        <w:tc>
          <w:tcPr>
            <w:tcW w:w="2161" w:type="dxa"/>
            <w:shd w:val="clear" w:color="auto" w:fill="auto"/>
          </w:tcPr>
          <w:p w:rsidR="007105F5" w:rsidRPr="005F5DF9" w:rsidRDefault="007105F5" w:rsidP="00006C86">
            <w:pPr>
              <w:contextualSpacing/>
              <w:rPr>
                <w:rFonts w:cstheme="minorHAnsi"/>
                <w:sz w:val="20"/>
                <w:szCs w:val="20"/>
              </w:rPr>
            </w:pPr>
            <w:r w:rsidRPr="005F5DF9">
              <w:rPr>
                <w:rFonts w:cstheme="minorHAnsi"/>
                <w:sz w:val="20"/>
                <w:szCs w:val="20"/>
                <w:vertAlign w:val="superscript"/>
              </w:rPr>
              <w:t>1</w:t>
            </w:r>
            <w:r w:rsidRPr="005F5DF9">
              <w:rPr>
                <w:rFonts w:cstheme="minorHAnsi"/>
                <w:sz w:val="20"/>
                <w:szCs w:val="20"/>
              </w:rPr>
              <w:t>See bond energy justification</w:t>
            </w:r>
          </w:p>
        </w:tc>
      </w:tr>
    </w:tbl>
    <w:p w:rsidR="007105F5" w:rsidRPr="005F5DF9" w:rsidRDefault="007105F5" w:rsidP="007105F5">
      <w:pPr>
        <w:spacing w:after="0" w:line="240" w:lineRule="auto"/>
        <w:contextualSpacing/>
        <w:rPr>
          <w:rFonts w:cstheme="minorHAnsi"/>
          <w:sz w:val="18"/>
          <w:szCs w:val="18"/>
        </w:rPr>
      </w:pPr>
      <w:r w:rsidRPr="005F5DF9">
        <w:rPr>
          <w:rFonts w:cstheme="minorHAnsi"/>
          <w:sz w:val="18"/>
          <w:szCs w:val="18"/>
          <w:vertAlign w:val="superscript"/>
        </w:rPr>
        <w:t>1</w:t>
      </w:r>
      <w:r w:rsidRPr="005F5DF9">
        <w:rPr>
          <w:rFonts w:cstheme="minorHAnsi"/>
          <w:sz w:val="18"/>
          <w:szCs w:val="18"/>
        </w:rPr>
        <w:t xml:space="preserve">Off-rate from </w:t>
      </w:r>
      <w:proofErr w:type="spellStart"/>
      <w:r w:rsidRPr="005F5DF9">
        <w:rPr>
          <w:rFonts w:cstheme="minorHAnsi"/>
          <w:sz w:val="18"/>
          <w:szCs w:val="18"/>
        </w:rPr>
        <w:t>protofilament</w:t>
      </w:r>
      <w:proofErr w:type="spellEnd"/>
      <w:r w:rsidRPr="005F5DF9">
        <w:rPr>
          <w:rFonts w:cstheme="minorHAnsi"/>
          <w:sz w:val="18"/>
          <w:szCs w:val="18"/>
        </w:rPr>
        <w:t xml:space="preserve">-edges relative to closed-lattice sites was estimated using bond energy arguments. EB1 bonded to a closed lattice site has 4 bonds, while EB1 bonded to a </w:t>
      </w:r>
      <w:proofErr w:type="spellStart"/>
      <w:r w:rsidRPr="005F5DF9">
        <w:rPr>
          <w:rFonts w:cstheme="minorHAnsi"/>
          <w:sz w:val="18"/>
          <w:szCs w:val="18"/>
        </w:rPr>
        <w:t>protofilament</w:t>
      </w:r>
      <w:proofErr w:type="spellEnd"/>
      <w:r w:rsidRPr="005F5DF9">
        <w:rPr>
          <w:rFonts w:cstheme="minorHAnsi"/>
          <w:sz w:val="18"/>
          <w:szCs w:val="18"/>
        </w:rPr>
        <w:t>-edge site has 2 bonds. Therefore, the off-rates could be related to the energies via:</w:t>
      </w:r>
    </w:p>
    <w:p w:rsidR="007105F5" w:rsidRPr="005F5DF9" w:rsidRDefault="007105F5" w:rsidP="007105F5">
      <w:pPr>
        <w:spacing w:after="0" w:line="240" w:lineRule="auto"/>
        <w:ind w:left="720" w:firstLine="720"/>
        <w:contextualSpacing/>
        <w:rPr>
          <w:rFonts w:eastAsiaTheme="minorEastAsia" w:cstheme="minorHAnsi"/>
          <w:sz w:val="18"/>
          <w:szCs w:val="18"/>
        </w:rPr>
      </w:pPr>
      <m:oMath>
        <m:f>
          <m:fPr>
            <m:ctrlPr>
              <w:rPr>
                <w:rFonts w:ascii="Cambria Math" w:hAnsi="Cambria Math" w:cstheme="minorHAnsi"/>
                <w:i/>
                <w:sz w:val="18"/>
                <w:szCs w:val="18"/>
              </w:rPr>
            </m:ctrlPr>
          </m:fPr>
          <m:num>
            <m:sSub>
              <m:sSubPr>
                <m:ctrlPr>
                  <w:rPr>
                    <w:rFonts w:ascii="Cambria Math" w:hAnsi="Cambria Math" w:cstheme="minorHAnsi"/>
                    <w:i/>
                    <w:sz w:val="18"/>
                    <w:szCs w:val="18"/>
                  </w:rPr>
                </m:ctrlPr>
              </m:sSubPr>
              <m:e>
                <m:r>
                  <w:rPr>
                    <w:rFonts w:ascii="Cambria Math" w:hAnsi="Cambria Math" w:cstheme="minorHAnsi"/>
                    <w:sz w:val="18"/>
                    <w:szCs w:val="18"/>
                  </w:rPr>
                  <m:t>k</m:t>
                </m:r>
              </m:e>
              <m:sub>
                <m:r>
                  <w:rPr>
                    <w:rFonts w:ascii="Cambria Math" w:hAnsi="Cambria Math" w:cstheme="minorHAnsi"/>
                    <w:sz w:val="18"/>
                    <w:szCs w:val="18"/>
                  </w:rPr>
                  <m:t>off,edge</m:t>
                </m:r>
              </m:sub>
            </m:sSub>
          </m:num>
          <m:den>
            <m:sSub>
              <m:sSubPr>
                <m:ctrlPr>
                  <w:rPr>
                    <w:rFonts w:ascii="Cambria Math" w:hAnsi="Cambria Math" w:cstheme="minorHAnsi"/>
                    <w:i/>
                    <w:sz w:val="18"/>
                    <w:szCs w:val="18"/>
                  </w:rPr>
                </m:ctrlPr>
              </m:sSubPr>
              <m:e>
                <m:r>
                  <w:rPr>
                    <w:rFonts w:ascii="Cambria Math" w:hAnsi="Cambria Math" w:cstheme="minorHAnsi"/>
                    <w:sz w:val="18"/>
                    <w:szCs w:val="18"/>
                  </w:rPr>
                  <m:t>k</m:t>
                </m:r>
              </m:e>
              <m:sub>
                <m:r>
                  <w:rPr>
                    <w:rFonts w:ascii="Cambria Math" w:hAnsi="Cambria Math" w:cstheme="minorHAnsi"/>
                    <w:sz w:val="18"/>
                    <w:szCs w:val="18"/>
                  </w:rPr>
                  <m:t>off,lattice</m:t>
                </m:r>
              </m:sub>
            </m:sSub>
          </m:den>
        </m:f>
        <m:r>
          <w:rPr>
            <w:rFonts w:ascii="Cambria Math" w:hAnsi="Cambria Math" w:cstheme="minorHAnsi"/>
            <w:sz w:val="18"/>
            <w:szCs w:val="18"/>
          </w:rPr>
          <m:t>~</m:t>
        </m:r>
        <m:f>
          <m:fPr>
            <m:ctrlPr>
              <w:rPr>
                <w:rFonts w:ascii="Cambria Math" w:hAnsi="Cambria Math" w:cstheme="minorHAnsi"/>
                <w:i/>
                <w:sz w:val="18"/>
                <w:szCs w:val="18"/>
              </w:rPr>
            </m:ctrlPr>
          </m:fPr>
          <m:num>
            <m:sSup>
              <m:sSupPr>
                <m:ctrlPr>
                  <w:rPr>
                    <w:rFonts w:ascii="Cambria Math" w:hAnsi="Cambria Math" w:cstheme="minorHAnsi"/>
                    <w:i/>
                    <w:sz w:val="18"/>
                    <w:szCs w:val="18"/>
                  </w:rPr>
                </m:ctrlPr>
              </m:sSupPr>
              <m:e>
                <m:r>
                  <w:rPr>
                    <w:rFonts w:ascii="Cambria Math" w:hAnsi="Cambria Math" w:cstheme="minorHAnsi"/>
                    <w:sz w:val="18"/>
                    <w:szCs w:val="18"/>
                  </w:rPr>
                  <m:t>e</m:t>
                </m:r>
              </m:e>
              <m:sup>
                <m:r>
                  <w:rPr>
                    <w:rFonts w:ascii="Cambria Math" w:hAnsi="Cambria Math" w:cstheme="minorHAnsi"/>
                    <w:sz w:val="18"/>
                    <w:szCs w:val="18"/>
                  </w:rPr>
                  <m:t>-</m:t>
                </m:r>
                <m:f>
                  <m:fPr>
                    <m:ctrlPr>
                      <w:rPr>
                        <w:rFonts w:ascii="Cambria Math" w:hAnsi="Cambria Math" w:cstheme="minorHAnsi"/>
                        <w:i/>
                        <w:sz w:val="18"/>
                        <w:szCs w:val="18"/>
                      </w:rPr>
                    </m:ctrlPr>
                  </m:fPr>
                  <m:num>
                    <m:r>
                      <w:rPr>
                        <w:rFonts w:ascii="Cambria Math" w:hAnsi="Cambria Math" w:cstheme="minorHAnsi"/>
                        <w:sz w:val="18"/>
                        <w:szCs w:val="18"/>
                      </w:rPr>
                      <m:t>2∆G</m:t>
                    </m:r>
                  </m:num>
                  <m:den>
                    <m:sSub>
                      <m:sSubPr>
                        <m:ctrlPr>
                          <w:rPr>
                            <w:rFonts w:ascii="Cambria Math" w:hAnsi="Cambria Math" w:cstheme="minorHAnsi"/>
                            <w:i/>
                            <w:sz w:val="18"/>
                            <w:szCs w:val="18"/>
                          </w:rPr>
                        </m:ctrlPr>
                      </m:sSubPr>
                      <m:e>
                        <m:r>
                          <w:rPr>
                            <w:rFonts w:ascii="Cambria Math" w:hAnsi="Cambria Math" w:cstheme="minorHAnsi"/>
                            <w:sz w:val="18"/>
                            <w:szCs w:val="18"/>
                          </w:rPr>
                          <m:t>k</m:t>
                        </m:r>
                      </m:e>
                      <m:sub>
                        <m:r>
                          <w:rPr>
                            <w:rFonts w:ascii="Cambria Math" w:hAnsi="Cambria Math" w:cstheme="minorHAnsi"/>
                            <w:sz w:val="18"/>
                            <w:szCs w:val="18"/>
                          </w:rPr>
                          <m:t>b</m:t>
                        </m:r>
                      </m:sub>
                    </m:sSub>
                    <m:r>
                      <w:rPr>
                        <w:rFonts w:ascii="Cambria Math" w:hAnsi="Cambria Math" w:cstheme="minorHAnsi"/>
                        <w:sz w:val="18"/>
                        <w:szCs w:val="18"/>
                      </w:rPr>
                      <m:t>T</m:t>
                    </m:r>
                  </m:den>
                </m:f>
              </m:sup>
            </m:sSup>
          </m:num>
          <m:den>
            <m:sSup>
              <m:sSupPr>
                <m:ctrlPr>
                  <w:rPr>
                    <w:rFonts w:ascii="Cambria Math" w:hAnsi="Cambria Math" w:cstheme="minorHAnsi"/>
                    <w:i/>
                    <w:sz w:val="18"/>
                    <w:szCs w:val="18"/>
                  </w:rPr>
                </m:ctrlPr>
              </m:sSupPr>
              <m:e>
                <m:r>
                  <w:rPr>
                    <w:rFonts w:ascii="Cambria Math" w:hAnsi="Cambria Math" w:cstheme="minorHAnsi"/>
                    <w:sz w:val="18"/>
                    <w:szCs w:val="18"/>
                  </w:rPr>
                  <m:t>e</m:t>
                </m:r>
              </m:e>
              <m:sup>
                <m:r>
                  <w:rPr>
                    <w:rFonts w:ascii="Cambria Math" w:hAnsi="Cambria Math" w:cstheme="minorHAnsi"/>
                    <w:sz w:val="18"/>
                    <w:szCs w:val="18"/>
                  </w:rPr>
                  <m:t>-</m:t>
                </m:r>
                <m:f>
                  <m:fPr>
                    <m:ctrlPr>
                      <w:rPr>
                        <w:rFonts w:ascii="Cambria Math" w:hAnsi="Cambria Math" w:cstheme="minorHAnsi"/>
                        <w:i/>
                        <w:sz w:val="18"/>
                        <w:szCs w:val="18"/>
                      </w:rPr>
                    </m:ctrlPr>
                  </m:fPr>
                  <m:num>
                    <m:r>
                      <w:rPr>
                        <w:rFonts w:ascii="Cambria Math" w:hAnsi="Cambria Math" w:cstheme="minorHAnsi"/>
                        <w:sz w:val="18"/>
                        <w:szCs w:val="18"/>
                      </w:rPr>
                      <m:t>4∆G</m:t>
                    </m:r>
                  </m:num>
                  <m:den>
                    <m:sSub>
                      <m:sSubPr>
                        <m:ctrlPr>
                          <w:rPr>
                            <w:rFonts w:ascii="Cambria Math" w:hAnsi="Cambria Math" w:cstheme="minorHAnsi"/>
                            <w:i/>
                            <w:sz w:val="18"/>
                            <w:szCs w:val="18"/>
                          </w:rPr>
                        </m:ctrlPr>
                      </m:sSubPr>
                      <m:e>
                        <m:r>
                          <w:rPr>
                            <w:rFonts w:ascii="Cambria Math" w:hAnsi="Cambria Math" w:cstheme="minorHAnsi"/>
                            <w:sz w:val="18"/>
                            <w:szCs w:val="18"/>
                          </w:rPr>
                          <m:t>k</m:t>
                        </m:r>
                      </m:e>
                      <m:sub>
                        <m:r>
                          <w:rPr>
                            <w:rFonts w:ascii="Cambria Math" w:hAnsi="Cambria Math" w:cstheme="minorHAnsi"/>
                            <w:sz w:val="18"/>
                            <w:szCs w:val="18"/>
                          </w:rPr>
                          <m:t>b</m:t>
                        </m:r>
                      </m:sub>
                    </m:sSub>
                    <m:r>
                      <w:rPr>
                        <w:rFonts w:ascii="Cambria Math" w:hAnsi="Cambria Math" w:cstheme="minorHAnsi"/>
                        <w:sz w:val="18"/>
                        <w:szCs w:val="18"/>
                      </w:rPr>
                      <m:t>T</m:t>
                    </m:r>
                  </m:den>
                </m:f>
              </m:sup>
            </m:sSup>
          </m:den>
        </m:f>
        <m:r>
          <w:rPr>
            <w:rFonts w:ascii="Cambria Math" w:hAnsi="Cambria Math" w:cstheme="minorHAnsi"/>
            <w:sz w:val="18"/>
            <w:szCs w:val="18"/>
          </w:rPr>
          <m:t>=</m:t>
        </m:r>
        <m:sSup>
          <m:sSupPr>
            <m:ctrlPr>
              <w:rPr>
                <w:rFonts w:ascii="Cambria Math" w:hAnsi="Cambria Math" w:cstheme="minorHAnsi"/>
                <w:i/>
                <w:sz w:val="18"/>
                <w:szCs w:val="18"/>
              </w:rPr>
            </m:ctrlPr>
          </m:sSupPr>
          <m:e>
            <m:r>
              <w:rPr>
                <w:rFonts w:ascii="Cambria Math" w:hAnsi="Cambria Math" w:cstheme="minorHAnsi"/>
                <w:sz w:val="18"/>
                <w:szCs w:val="18"/>
              </w:rPr>
              <m:t>e</m:t>
            </m:r>
          </m:e>
          <m:sup>
            <m:f>
              <m:fPr>
                <m:ctrlPr>
                  <w:rPr>
                    <w:rFonts w:ascii="Cambria Math" w:hAnsi="Cambria Math" w:cstheme="minorHAnsi"/>
                    <w:i/>
                    <w:sz w:val="18"/>
                    <w:szCs w:val="18"/>
                  </w:rPr>
                </m:ctrlPr>
              </m:fPr>
              <m:num>
                <m:r>
                  <w:rPr>
                    <w:rFonts w:ascii="Cambria Math" w:hAnsi="Cambria Math" w:cstheme="minorHAnsi"/>
                    <w:sz w:val="18"/>
                    <w:szCs w:val="18"/>
                  </w:rPr>
                  <m:t>∆G</m:t>
                </m:r>
              </m:num>
              <m:den>
                <m:sSub>
                  <m:sSubPr>
                    <m:ctrlPr>
                      <w:rPr>
                        <w:rFonts w:ascii="Cambria Math" w:hAnsi="Cambria Math" w:cstheme="minorHAnsi"/>
                        <w:i/>
                        <w:sz w:val="18"/>
                        <w:szCs w:val="18"/>
                      </w:rPr>
                    </m:ctrlPr>
                  </m:sSubPr>
                  <m:e>
                    <m:r>
                      <w:rPr>
                        <w:rFonts w:ascii="Cambria Math" w:hAnsi="Cambria Math" w:cstheme="minorHAnsi"/>
                        <w:sz w:val="18"/>
                        <w:szCs w:val="18"/>
                      </w:rPr>
                      <m:t>k</m:t>
                    </m:r>
                  </m:e>
                  <m:sub>
                    <m:r>
                      <w:rPr>
                        <w:rFonts w:ascii="Cambria Math" w:hAnsi="Cambria Math" w:cstheme="minorHAnsi"/>
                        <w:sz w:val="18"/>
                        <w:szCs w:val="18"/>
                      </w:rPr>
                      <m:t>BT</m:t>
                    </m:r>
                  </m:sub>
                </m:sSub>
              </m:den>
            </m:f>
            <m:d>
              <m:dPr>
                <m:ctrlPr>
                  <w:rPr>
                    <w:rFonts w:ascii="Cambria Math" w:hAnsi="Cambria Math" w:cstheme="minorHAnsi"/>
                    <w:i/>
                    <w:sz w:val="18"/>
                    <w:szCs w:val="18"/>
                  </w:rPr>
                </m:ctrlPr>
              </m:dPr>
              <m:e>
                <m:r>
                  <w:rPr>
                    <w:rFonts w:ascii="Cambria Math" w:hAnsi="Cambria Math" w:cstheme="minorHAnsi"/>
                    <w:sz w:val="18"/>
                    <w:szCs w:val="18"/>
                  </w:rPr>
                  <m:t>-2+4</m:t>
                </m:r>
              </m:e>
            </m:d>
          </m:sup>
        </m:sSup>
      </m:oMath>
      <w:r>
        <w:rPr>
          <w:rFonts w:eastAsiaTheme="minorEastAsia" w:cstheme="minorHAnsi"/>
          <w:sz w:val="18"/>
          <w:szCs w:val="18"/>
        </w:rPr>
        <w:tab/>
      </w:r>
      <w:r>
        <w:rPr>
          <w:rFonts w:eastAsiaTheme="minorEastAsia" w:cstheme="minorHAnsi"/>
          <w:sz w:val="18"/>
          <w:szCs w:val="18"/>
        </w:rPr>
        <w:tab/>
      </w:r>
      <w:r>
        <w:rPr>
          <w:rFonts w:eastAsiaTheme="minorEastAsia" w:cstheme="minorHAnsi"/>
          <w:sz w:val="18"/>
          <w:szCs w:val="18"/>
        </w:rPr>
        <w:tab/>
        <w:t>(1</w:t>
      </w:r>
      <w:bookmarkStart w:id="0" w:name="_GoBack"/>
      <w:bookmarkEnd w:id="0"/>
      <w:r w:rsidRPr="005F5DF9">
        <w:rPr>
          <w:rFonts w:eastAsiaTheme="minorEastAsia" w:cstheme="minorHAnsi"/>
          <w:sz w:val="18"/>
          <w:szCs w:val="18"/>
        </w:rPr>
        <w:t>)</w:t>
      </w:r>
    </w:p>
    <w:p w:rsidR="007105F5" w:rsidRPr="005F5DF9" w:rsidRDefault="007105F5" w:rsidP="007105F5">
      <w:pPr>
        <w:spacing w:after="0" w:line="240" w:lineRule="auto"/>
        <w:contextualSpacing/>
        <w:rPr>
          <w:rFonts w:eastAsiaTheme="minorEastAsia" w:cstheme="minorHAnsi"/>
          <w:sz w:val="20"/>
          <w:szCs w:val="20"/>
        </w:rPr>
      </w:pPr>
      <w:r w:rsidRPr="005F5DF9">
        <w:rPr>
          <w:rFonts w:eastAsiaTheme="minorEastAsia" w:cstheme="minorHAnsi"/>
          <w:sz w:val="18"/>
          <w:szCs w:val="18"/>
        </w:rPr>
        <w:t xml:space="preserve">Thus, a rough estimate of the fold-increase in EB1 off-rates from 4-bond closed lattice sites to 2-bond </w:t>
      </w:r>
      <w:proofErr w:type="spellStart"/>
      <w:r w:rsidRPr="005F5DF9">
        <w:rPr>
          <w:rFonts w:eastAsiaTheme="minorEastAsia" w:cstheme="minorHAnsi"/>
          <w:sz w:val="18"/>
          <w:szCs w:val="18"/>
        </w:rPr>
        <w:t>protofilament</w:t>
      </w:r>
      <w:proofErr w:type="spellEnd"/>
      <w:r w:rsidRPr="005F5DF9">
        <w:rPr>
          <w:rFonts w:eastAsiaTheme="minorEastAsia" w:cstheme="minorHAnsi"/>
          <w:sz w:val="18"/>
          <w:szCs w:val="18"/>
        </w:rPr>
        <w:t xml:space="preserve"> edges could be e</w:t>
      </w:r>
      <w:r w:rsidRPr="005F5DF9">
        <w:rPr>
          <w:rFonts w:eastAsiaTheme="minorEastAsia" w:cstheme="minorHAnsi"/>
          <w:sz w:val="18"/>
          <w:szCs w:val="18"/>
          <w:vertAlign w:val="superscript"/>
        </w:rPr>
        <w:t xml:space="preserve">2 </w:t>
      </w:r>
      <w:r w:rsidRPr="005F5DF9">
        <w:rPr>
          <w:rFonts w:eastAsiaTheme="minorEastAsia" w:cstheme="minorHAnsi"/>
          <w:sz w:val="18"/>
          <w:szCs w:val="18"/>
        </w:rPr>
        <w:t xml:space="preserve">= 7. Because an increased off-rate from </w:t>
      </w:r>
      <w:proofErr w:type="spellStart"/>
      <w:r w:rsidRPr="005F5DF9">
        <w:rPr>
          <w:rFonts w:eastAsiaTheme="minorEastAsia" w:cstheme="minorHAnsi"/>
          <w:sz w:val="18"/>
          <w:szCs w:val="18"/>
        </w:rPr>
        <w:t>protofilament</w:t>
      </w:r>
      <w:proofErr w:type="spellEnd"/>
      <w:r w:rsidRPr="005F5DF9">
        <w:rPr>
          <w:rFonts w:eastAsiaTheme="minorEastAsia" w:cstheme="minorHAnsi"/>
          <w:sz w:val="18"/>
          <w:szCs w:val="18"/>
        </w:rPr>
        <w:t xml:space="preserve"> edges would decrease the residence time on the </w:t>
      </w:r>
      <w:proofErr w:type="spellStart"/>
      <w:r w:rsidRPr="005F5DF9">
        <w:rPr>
          <w:rFonts w:eastAsiaTheme="minorEastAsia" w:cstheme="minorHAnsi"/>
          <w:sz w:val="18"/>
          <w:szCs w:val="18"/>
        </w:rPr>
        <w:t>protofilament</w:t>
      </w:r>
      <w:proofErr w:type="spellEnd"/>
      <w:r w:rsidRPr="005F5DF9">
        <w:rPr>
          <w:rFonts w:eastAsiaTheme="minorEastAsia" w:cstheme="minorHAnsi"/>
          <w:sz w:val="18"/>
          <w:szCs w:val="18"/>
        </w:rPr>
        <w:t xml:space="preserve">-edges, we used a conservative estimate of a 10-fold increase in EB1 off-rate from GTP-tubulin </w:t>
      </w:r>
      <w:proofErr w:type="spellStart"/>
      <w:r w:rsidRPr="005F5DF9">
        <w:rPr>
          <w:rFonts w:eastAsiaTheme="minorEastAsia" w:cstheme="minorHAnsi"/>
          <w:sz w:val="18"/>
          <w:szCs w:val="18"/>
        </w:rPr>
        <w:t>protofilament</w:t>
      </w:r>
      <w:proofErr w:type="spellEnd"/>
      <w:r w:rsidRPr="005F5DF9">
        <w:rPr>
          <w:rFonts w:eastAsiaTheme="minorEastAsia" w:cstheme="minorHAnsi"/>
          <w:sz w:val="18"/>
          <w:szCs w:val="18"/>
        </w:rPr>
        <w:t xml:space="preserve"> edges relatively to GTP-tubulin closed-lattice sites. The simulation was insensitive to the GDP-tubulin </w:t>
      </w:r>
      <w:proofErr w:type="spellStart"/>
      <w:r w:rsidRPr="005F5DF9">
        <w:rPr>
          <w:rFonts w:eastAsiaTheme="minorEastAsia" w:cstheme="minorHAnsi"/>
          <w:sz w:val="18"/>
          <w:szCs w:val="18"/>
        </w:rPr>
        <w:t>protofilament</w:t>
      </w:r>
      <w:proofErr w:type="spellEnd"/>
      <w:r w:rsidRPr="005F5DF9">
        <w:rPr>
          <w:rFonts w:eastAsiaTheme="minorEastAsia" w:cstheme="minorHAnsi"/>
          <w:sz w:val="18"/>
          <w:szCs w:val="18"/>
        </w:rPr>
        <w:t xml:space="preserve"> edge off-rate value used (</w:t>
      </w:r>
      <w:r>
        <w:rPr>
          <w:rFonts w:eastAsiaTheme="minorEastAsia" w:cstheme="minorHAnsi"/>
          <w:sz w:val="18"/>
          <w:szCs w:val="18"/>
        </w:rPr>
        <w:t>Fig. 1- Fig. supplement 2</w:t>
      </w:r>
      <w:r w:rsidRPr="005F5DF9">
        <w:rPr>
          <w:rFonts w:eastAsiaTheme="minorEastAsia" w:cstheme="minorHAnsi"/>
          <w:sz w:val="18"/>
          <w:szCs w:val="18"/>
        </w:rPr>
        <w:t>G-I), because GDP-tubulin edge sites were rarely present in the simulation.</w:t>
      </w:r>
    </w:p>
    <w:p w:rsidR="007105F5" w:rsidRDefault="007105F5" w:rsidP="007105F5">
      <w:pPr>
        <w:spacing w:after="0" w:line="240" w:lineRule="auto"/>
        <w:contextualSpacing/>
        <w:rPr>
          <w:rFonts w:cstheme="minorHAnsi"/>
          <w:sz w:val="20"/>
          <w:szCs w:val="20"/>
        </w:rPr>
      </w:pPr>
    </w:p>
    <w:p w:rsidR="007105F5" w:rsidRPr="005F5DF9" w:rsidRDefault="007105F5" w:rsidP="007105F5">
      <w:pPr>
        <w:spacing w:after="0" w:line="240" w:lineRule="auto"/>
        <w:contextualSpacing/>
        <w:rPr>
          <w:rFonts w:cstheme="minorHAnsi"/>
          <w:sz w:val="20"/>
          <w:szCs w:val="20"/>
        </w:rPr>
      </w:pPr>
    </w:p>
    <w:p w:rsidR="007105F5" w:rsidRDefault="007105F5" w:rsidP="007105F5">
      <w:pPr>
        <w:spacing w:after="0" w:line="240" w:lineRule="auto"/>
        <w:contextualSpacing/>
        <w:rPr>
          <w:rFonts w:cstheme="minorHAnsi"/>
          <w:sz w:val="24"/>
          <w:szCs w:val="24"/>
        </w:rPr>
      </w:pPr>
    </w:p>
    <w:p w:rsidR="007105F5" w:rsidRDefault="007105F5" w:rsidP="007105F5">
      <w:pPr>
        <w:rPr>
          <w:rFonts w:cstheme="minorHAnsi"/>
          <w:i/>
          <w:iCs/>
          <w:sz w:val="24"/>
          <w:szCs w:val="24"/>
        </w:rPr>
      </w:pPr>
    </w:p>
    <w:p w:rsidR="0080206A" w:rsidRDefault="0080206A"/>
    <w:sectPr w:rsidR="00802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F5"/>
    <w:rsid w:val="007105F5"/>
    <w:rsid w:val="0080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785A"/>
  <w15:chartTrackingRefBased/>
  <w15:docId w15:val="{5BE5ACBB-CA2B-41CC-AE0A-D4947DBB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0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 Gardner</dc:creator>
  <cp:keywords/>
  <dc:description/>
  <cp:lastModifiedBy>Melissa K Gardner</cp:lastModifiedBy>
  <cp:revision>1</cp:revision>
  <dcterms:created xsi:type="dcterms:W3CDTF">2024-01-23T16:15:00Z</dcterms:created>
  <dcterms:modified xsi:type="dcterms:W3CDTF">2024-01-23T16:18:00Z</dcterms:modified>
</cp:coreProperties>
</file>