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2BA" w:rsidRPr="001C5693" w:rsidRDefault="009C12BA" w:rsidP="009C12BA">
      <w:pPr>
        <w:spacing w:line="360" w:lineRule="auto"/>
      </w:pPr>
      <w:bookmarkStart w:id="0" w:name="_GoBack"/>
      <w:bookmarkEnd w:id="0"/>
      <w:r w:rsidRPr="00D93094">
        <w:rPr>
          <w:b/>
          <w:bCs/>
        </w:rPr>
        <w:t>Table S3</w:t>
      </w:r>
      <w:r>
        <w:t xml:space="preserve"> </w:t>
      </w:r>
      <w:r>
        <w:rPr>
          <w:rFonts w:hint="eastAsia"/>
        </w:rPr>
        <w:t>P</w:t>
      </w:r>
      <w:r w:rsidRPr="00D93094">
        <w:t>lasmids used in th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present</w:t>
      </w:r>
      <w:r w:rsidRPr="00D93094">
        <w:t xml:space="preserve"> study</w:t>
      </w:r>
    </w:p>
    <w:tbl>
      <w:tblPr>
        <w:tblStyle w:val="Style1"/>
        <w:tblW w:w="9067" w:type="dxa"/>
        <w:tblLook w:val="04A0" w:firstRow="1" w:lastRow="0" w:firstColumn="1" w:lastColumn="0" w:noHBand="0" w:noVBand="1"/>
      </w:tblPr>
      <w:tblGrid>
        <w:gridCol w:w="1812"/>
        <w:gridCol w:w="4619"/>
        <w:gridCol w:w="2636"/>
      </w:tblGrid>
      <w:tr w:rsidR="009C12BA" w:rsidRPr="00D93094" w:rsidTr="00B80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Plasmid</w:t>
            </w:r>
            <w:r>
              <w:rPr>
                <w:rFonts w:eastAsia="Times New Roman" w:hint="eastAsia"/>
                <w:color w:val="000000"/>
                <w:sz w:val="20"/>
              </w:rPr>
              <w:t>s</w:t>
            </w:r>
          </w:p>
        </w:tc>
        <w:tc>
          <w:tcPr>
            <w:tcW w:w="4619" w:type="dxa"/>
            <w:vAlign w:val="center"/>
            <w:hideMark/>
          </w:tcPr>
          <w:p w:rsidR="009C12BA" w:rsidRPr="00426000" w:rsidRDefault="009C12BA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Description</w:t>
            </w:r>
          </w:p>
        </w:tc>
        <w:tc>
          <w:tcPr>
            <w:tcW w:w="2636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Source</w:t>
            </w:r>
          </w:p>
        </w:tc>
      </w:tr>
      <w:tr w:rsidR="009C12BA" w:rsidRPr="009C12BA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pYX212</w:t>
            </w:r>
            <w:r>
              <w:rPr>
                <w:rFonts w:eastAsia="Times New Roman"/>
                <w:color w:val="000000"/>
                <w:sz w:val="20"/>
              </w:rPr>
              <w:t>-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</w:p>
        </w:tc>
        <w:tc>
          <w:tcPr>
            <w:tcW w:w="4619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2</w:t>
            </w:r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>μ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, URA3,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Amp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, TPIp-Dsred-SY1</w:t>
            </w:r>
          </w:p>
        </w:tc>
        <w:tc>
          <w:tcPr>
            <w:tcW w:w="2636" w:type="dxa"/>
            <w:noWrap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proofErr w:type="spellStart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>Büttner</w:t>
            </w:r>
            <w:proofErr w:type="spellEnd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 xml:space="preserve"> et al, 2010</w:t>
            </w:r>
          </w:p>
        </w:tc>
      </w:tr>
      <w:tr w:rsidR="009C12BA" w:rsidRPr="009C12BA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pYX212</w:t>
            </w:r>
            <w:r>
              <w:rPr>
                <w:rFonts w:eastAsia="Times New Roman"/>
                <w:color w:val="000000"/>
                <w:sz w:val="20"/>
              </w:rPr>
              <w:t>-</w:t>
            </w:r>
            <w:r w:rsidRPr="00426000">
              <w:rPr>
                <w:rFonts w:eastAsia="Times New Roman"/>
                <w:color w:val="000000"/>
                <w:sz w:val="20"/>
              </w:rPr>
              <w:t>Dsred</w:t>
            </w:r>
          </w:p>
        </w:tc>
        <w:tc>
          <w:tcPr>
            <w:tcW w:w="4619" w:type="dxa"/>
            <w:vAlign w:val="center"/>
            <w:hideMark/>
          </w:tcPr>
          <w:p w:rsidR="009C12BA" w:rsidRPr="00134E07" w:rsidRDefault="009C12BA" w:rsidP="00B808D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</w:pPr>
            <w:r w:rsidRPr="00134E07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>2</w:t>
            </w:r>
            <w:r w:rsidRPr="00134E07">
              <w:rPr>
                <w:rFonts w:eastAsia="Times New Roman"/>
                <w:i/>
                <w:iCs/>
                <w:color w:val="000000"/>
                <w:sz w:val="20"/>
              </w:rPr>
              <w:t>μ</w:t>
            </w:r>
            <w:r w:rsidRPr="00134E07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 xml:space="preserve">, URA3, </w:t>
            </w:r>
            <w:proofErr w:type="spellStart"/>
            <w:r w:rsidRPr="00134E07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>Amp</w:t>
            </w:r>
            <w:r w:rsidRPr="00134E07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es-ES"/>
              </w:rPr>
              <w:t>R</w:t>
            </w:r>
            <w:proofErr w:type="spellEnd"/>
            <w:r w:rsidRPr="00134E07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 xml:space="preserve">, </w:t>
            </w:r>
            <w:proofErr w:type="spellStart"/>
            <w:r w:rsidRPr="00134E07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>TPIp-Dsred</w:t>
            </w:r>
            <w:proofErr w:type="spellEnd"/>
          </w:p>
        </w:tc>
        <w:tc>
          <w:tcPr>
            <w:tcW w:w="2636" w:type="dxa"/>
            <w:noWrap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proofErr w:type="spellStart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>Büttner</w:t>
            </w:r>
            <w:proofErr w:type="spellEnd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 xml:space="preserve"> et al, 2010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426000">
              <w:rPr>
                <w:rFonts w:eastAsia="Times New Roman"/>
                <w:color w:val="000000"/>
                <w:sz w:val="20"/>
              </w:rPr>
              <w:t>pYX212</w:t>
            </w:r>
            <w:r>
              <w:rPr>
                <w:rFonts w:eastAsia="Times New Roman"/>
                <w:color w:val="000000"/>
                <w:sz w:val="20"/>
              </w:rPr>
              <w:t>-</w:t>
            </w:r>
            <w:r w:rsidRPr="00426000">
              <w:rPr>
                <w:rFonts w:eastAsia="Times New Roman"/>
                <w:color w:val="000000"/>
                <w:sz w:val="20"/>
              </w:rPr>
              <w:t>Dsred -SY1</w:t>
            </w:r>
            <w:r>
              <w:rPr>
                <w:rFonts w:eastAsia="Times New Roman"/>
                <w:color w:val="000000"/>
                <w:sz w:val="20"/>
              </w:rPr>
              <w:t>-His</w:t>
            </w:r>
          </w:p>
        </w:tc>
        <w:tc>
          <w:tcPr>
            <w:tcW w:w="4619" w:type="dxa"/>
            <w:vAlign w:val="center"/>
            <w:hideMark/>
          </w:tcPr>
          <w:p w:rsidR="009C12BA" w:rsidRPr="00426000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 xml:space="preserve">2μ, 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>HIS</w:t>
            </w:r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 xml:space="preserve">3, </w:t>
            </w:r>
            <w:proofErr w:type="spellStart"/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>Amp</w:t>
            </w:r>
            <w:r w:rsidRPr="00811933">
              <w:rPr>
                <w:rFonts w:eastAsia="Times New Roman"/>
                <w:i/>
                <w:iCs/>
                <w:color w:val="000000"/>
                <w:sz w:val="20"/>
                <w:vertAlign w:val="superscript"/>
              </w:rPr>
              <w:t>R</w:t>
            </w:r>
            <w:proofErr w:type="spellEnd"/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>, TPIp-Dsred-SY1</w:t>
            </w:r>
          </w:p>
        </w:tc>
        <w:tc>
          <w:tcPr>
            <w:tcW w:w="2636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962533">
              <w:rPr>
                <w:rFonts w:eastAsia="Times New Roman"/>
                <w:color w:val="000000"/>
                <w:sz w:val="20"/>
              </w:rPr>
              <w:t>p</w:t>
            </w:r>
            <w:r>
              <w:rPr>
                <w:rFonts w:eastAsia="Times New Roman"/>
                <w:color w:val="000000"/>
                <w:sz w:val="20"/>
              </w:rPr>
              <w:t>LCB1</w:t>
            </w:r>
            <w:r w:rsidRPr="00962533">
              <w:rPr>
                <w:rFonts w:eastAsia="Times New Roman"/>
                <w:color w:val="000000"/>
                <w:sz w:val="20"/>
              </w:rPr>
              <w:t>-MoBY</w:t>
            </w:r>
          </w:p>
        </w:tc>
        <w:tc>
          <w:tcPr>
            <w:tcW w:w="4619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CEN,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KanMX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Cm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, URA3, LCB1</w:t>
            </w:r>
            <w:r w:rsidRPr="009C12BA">
              <w:rPr>
                <w:rFonts w:eastAsia="Times New Roman"/>
                <w:color w:val="000000"/>
                <w:sz w:val="20"/>
                <w:lang w:val="sv-SE"/>
              </w:rPr>
              <w:t>*</w:t>
            </w:r>
          </w:p>
        </w:tc>
        <w:tc>
          <w:tcPr>
            <w:tcW w:w="2636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Ho et al, 2009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962533">
              <w:rPr>
                <w:rFonts w:eastAsia="Times New Roman"/>
                <w:color w:val="000000"/>
                <w:sz w:val="20"/>
              </w:rPr>
              <w:t>p</w:t>
            </w:r>
            <w:r>
              <w:rPr>
                <w:rFonts w:eastAsia="Times New Roman"/>
                <w:color w:val="000000"/>
                <w:sz w:val="20"/>
              </w:rPr>
              <w:t>LCB2</w:t>
            </w:r>
            <w:r w:rsidRPr="00962533">
              <w:rPr>
                <w:rFonts w:eastAsia="Times New Roman"/>
                <w:color w:val="000000"/>
                <w:sz w:val="20"/>
              </w:rPr>
              <w:t>-MoBY</w:t>
            </w:r>
          </w:p>
        </w:tc>
        <w:tc>
          <w:tcPr>
            <w:tcW w:w="4619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CEN,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KanMX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Cm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, URA3, LCB2</w:t>
            </w:r>
            <w:r w:rsidRPr="009C12BA">
              <w:rPr>
                <w:rFonts w:eastAsia="Times New Roman"/>
                <w:color w:val="000000"/>
                <w:sz w:val="20"/>
                <w:lang w:val="sv-SE"/>
              </w:rPr>
              <w:t>*</w:t>
            </w:r>
          </w:p>
        </w:tc>
        <w:tc>
          <w:tcPr>
            <w:tcW w:w="2636" w:type="dxa"/>
            <w:noWrap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Ho et al, 2009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962533">
              <w:rPr>
                <w:rFonts w:eastAsia="Times New Roman"/>
                <w:color w:val="000000"/>
                <w:sz w:val="20"/>
              </w:rPr>
              <w:t>p</w:t>
            </w:r>
            <w:r>
              <w:rPr>
                <w:rFonts w:eastAsia="Times New Roman"/>
                <w:color w:val="000000"/>
                <w:sz w:val="20"/>
              </w:rPr>
              <w:t>TSC3-</w:t>
            </w:r>
            <w:r w:rsidRPr="00962533">
              <w:rPr>
                <w:rFonts w:eastAsia="Times New Roman"/>
                <w:color w:val="000000"/>
                <w:sz w:val="20"/>
              </w:rPr>
              <w:t>MoBY</w:t>
            </w:r>
          </w:p>
        </w:tc>
        <w:tc>
          <w:tcPr>
            <w:tcW w:w="4619" w:type="dxa"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sv-SE"/>
              </w:rPr>
            </w:pP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CEN,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KanMX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, </w:t>
            </w:r>
            <w:proofErr w:type="spellStart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Cm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vertAlign w:val="superscript"/>
                <w:lang w:val="sv-SE"/>
              </w:rPr>
              <w:t>R</w:t>
            </w:r>
            <w:proofErr w:type="spellEnd"/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>, URA3, TSC3</w:t>
            </w:r>
            <w:r w:rsidRPr="009C12BA">
              <w:rPr>
                <w:rFonts w:eastAsia="Times New Roman"/>
                <w:color w:val="000000"/>
                <w:sz w:val="20"/>
                <w:lang w:val="sv-SE"/>
              </w:rPr>
              <w:t>*</w:t>
            </w:r>
          </w:p>
        </w:tc>
        <w:tc>
          <w:tcPr>
            <w:tcW w:w="2636" w:type="dxa"/>
            <w:noWrap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Ho et al, 2009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  <w:hideMark/>
          </w:tcPr>
          <w:p w:rsidR="009C12BA" w:rsidRPr="00426000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 w:hint="eastAsia"/>
                <w:color w:val="000000"/>
                <w:sz w:val="20"/>
              </w:rPr>
              <w:t>p</w:t>
            </w:r>
            <w:r>
              <w:rPr>
                <w:rFonts w:eastAsia="Times New Roman"/>
                <w:color w:val="000000"/>
                <w:sz w:val="20"/>
              </w:rPr>
              <w:t>5472</w:t>
            </w:r>
          </w:p>
        </w:tc>
        <w:tc>
          <w:tcPr>
            <w:tcW w:w="4619" w:type="dxa"/>
            <w:vAlign w:val="center"/>
            <w:hideMark/>
          </w:tcPr>
          <w:p w:rsidR="009C12BA" w:rsidRPr="00426000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E66006">
              <w:rPr>
                <w:rFonts w:eastAsia="Times New Roman"/>
                <w:i/>
                <w:iCs/>
                <w:color w:val="000000"/>
                <w:sz w:val="20"/>
              </w:rPr>
              <w:t xml:space="preserve">CEN, </w:t>
            </w:r>
            <w:proofErr w:type="spellStart"/>
            <w:r w:rsidRPr="00E66006">
              <w:rPr>
                <w:rFonts w:eastAsia="Times New Roman"/>
                <w:i/>
                <w:iCs/>
                <w:color w:val="000000"/>
                <w:sz w:val="20"/>
              </w:rPr>
              <w:t>Cm</w:t>
            </w:r>
            <w:r w:rsidRPr="00E66006">
              <w:rPr>
                <w:rFonts w:eastAsia="Times New Roman"/>
                <w:i/>
                <w:iCs/>
                <w:color w:val="000000"/>
                <w:sz w:val="20"/>
                <w:vertAlign w:val="superscript"/>
              </w:rPr>
              <w:t>R</w:t>
            </w:r>
            <w:proofErr w:type="spellEnd"/>
            <w:r w:rsidRPr="00E66006">
              <w:rPr>
                <w:rFonts w:eastAsia="Times New Roman"/>
                <w:i/>
                <w:iCs/>
                <w:color w:val="000000"/>
                <w:sz w:val="20"/>
              </w:rPr>
              <w:t>, URA3</w:t>
            </w:r>
          </w:p>
        </w:tc>
        <w:tc>
          <w:tcPr>
            <w:tcW w:w="2636" w:type="dxa"/>
            <w:noWrap/>
            <w:vAlign w:val="center"/>
            <w:hideMark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Ho et al, 2009</w:t>
            </w:r>
          </w:p>
        </w:tc>
      </w:tr>
      <w:tr w:rsidR="009C12BA" w:rsidRPr="00D93094" w:rsidTr="00B808DD">
        <w:trPr>
          <w:trHeight w:val="454"/>
        </w:trPr>
        <w:tc>
          <w:tcPr>
            <w:tcW w:w="1812" w:type="dxa"/>
            <w:noWrap/>
            <w:vAlign w:val="center"/>
          </w:tcPr>
          <w:p w:rsidR="009C12BA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5E75A2">
              <w:rPr>
                <w:rFonts w:eastAsia="Times New Roman"/>
                <w:color w:val="000000"/>
                <w:sz w:val="20"/>
              </w:rPr>
              <w:t>pcDNA3.1-GFP-SY1</w:t>
            </w:r>
          </w:p>
        </w:tc>
        <w:tc>
          <w:tcPr>
            <w:tcW w:w="4619" w:type="dxa"/>
            <w:vAlign w:val="center"/>
          </w:tcPr>
          <w:p w:rsidR="009C12BA" w:rsidRPr="005A5331" w:rsidRDefault="009C12BA" w:rsidP="00B808DD">
            <w:pPr>
              <w:jc w:val="center"/>
              <w:rPr>
                <w:rFonts w:ascii="SimSun" w:eastAsia="SimSun" w:hAnsi="SimSun" w:cs="SimSun"/>
                <w:i/>
                <w:iCs/>
                <w:color w:val="000000"/>
                <w:sz w:val="20"/>
              </w:rPr>
            </w:pPr>
            <w:r w:rsidRPr="003B2505">
              <w:rPr>
                <w:rFonts w:eastAsia="Times New Roman"/>
                <w:color w:val="000000"/>
                <w:sz w:val="20"/>
              </w:rPr>
              <w:t>pcDNA3.1 (-) vector</w:t>
            </w:r>
            <w:r w:rsidRPr="00811933">
              <w:rPr>
                <w:rFonts w:eastAsia="Times New Roman"/>
                <w:i/>
                <w:iCs/>
                <w:color w:val="000000"/>
                <w:sz w:val="20"/>
              </w:rPr>
              <w:t>,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 xml:space="preserve"> </w:t>
            </w:r>
            <w:r w:rsidRPr="005A5331">
              <w:rPr>
                <w:rFonts w:eastAsia="Times New Roman" w:hint="eastAsia"/>
                <w:i/>
                <w:iCs/>
                <w:color w:val="000000"/>
                <w:sz w:val="20"/>
              </w:rPr>
              <w:t>CMV</w:t>
            </w:r>
            <w:r w:rsidRPr="005A5331">
              <w:rPr>
                <w:rFonts w:eastAsia="Times New Roman"/>
                <w:i/>
                <w:iCs/>
                <w:color w:val="000000"/>
                <w:sz w:val="20"/>
              </w:rPr>
              <w:t>p-GFP-SY1-BGH</w:t>
            </w:r>
            <w:r>
              <w:rPr>
                <w:rFonts w:eastAsia="Times New Roman"/>
                <w:i/>
                <w:iCs/>
                <w:color w:val="000000"/>
                <w:sz w:val="20"/>
              </w:rPr>
              <w:t>t</w:t>
            </w:r>
          </w:p>
        </w:tc>
        <w:tc>
          <w:tcPr>
            <w:tcW w:w="2636" w:type="dxa"/>
            <w:noWrap/>
            <w:vAlign w:val="center"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9C12BA" w:rsidRPr="000D0EAC" w:rsidTr="00B808DD">
        <w:trPr>
          <w:trHeight w:val="454"/>
        </w:trPr>
        <w:tc>
          <w:tcPr>
            <w:tcW w:w="1812" w:type="dxa"/>
            <w:noWrap/>
            <w:vAlign w:val="center"/>
          </w:tcPr>
          <w:p w:rsidR="009C12BA" w:rsidRPr="000D0EAC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0D0EAC">
              <w:rPr>
                <w:rFonts w:eastAsia="Times New Roman"/>
                <w:color w:val="000000"/>
                <w:sz w:val="20"/>
              </w:rPr>
              <w:t>pcDNA3.1-SY1-Flag</w:t>
            </w:r>
          </w:p>
        </w:tc>
        <w:tc>
          <w:tcPr>
            <w:tcW w:w="4619" w:type="dxa"/>
            <w:vAlign w:val="center"/>
          </w:tcPr>
          <w:p w:rsidR="009C12BA" w:rsidRPr="009C12BA" w:rsidRDefault="009C12BA" w:rsidP="00B808DD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</w:pPr>
            <w:r w:rsidRPr="009C12BA">
              <w:rPr>
                <w:rFonts w:eastAsia="Times New Roman"/>
                <w:color w:val="000000"/>
                <w:sz w:val="20"/>
                <w:lang w:val="sv-SE"/>
              </w:rPr>
              <w:t xml:space="preserve">pcDNA3.1 (-) </w:t>
            </w:r>
            <w:proofErr w:type="spellStart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>vector</w:t>
            </w:r>
            <w:proofErr w:type="spellEnd"/>
            <w:r w:rsidRPr="009C12BA">
              <w:rPr>
                <w:rFonts w:eastAsia="Times New Roman"/>
                <w:color w:val="000000"/>
                <w:sz w:val="20"/>
                <w:lang w:val="sv-SE"/>
              </w:rPr>
              <w:t>,</w:t>
            </w:r>
            <w:r w:rsidRPr="009C12BA">
              <w:rPr>
                <w:rFonts w:eastAsia="Times New Roman"/>
                <w:i/>
                <w:iCs/>
                <w:color w:val="000000"/>
                <w:sz w:val="20"/>
                <w:lang w:val="sv-SE"/>
              </w:rPr>
              <w:t xml:space="preserve"> CMVp-SY1-Flag-BGHt</w:t>
            </w:r>
          </w:p>
        </w:tc>
        <w:tc>
          <w:tcPr>
            <w:tcW w:w="2636" w:type="dxa"/>
            <w:noWrap/>
            <w:vAlign w:val="center"/>
          </w:tcPr>
          <w:p w:rsidR="009C12BA" w:rsidRPr="009C12BA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9C12BA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9C12BA" w:rsidRPr="000D0EAC" w:rsidTr="00B808DD">
        <w:trPr>
          <w:trHeight w:val="454"/>
        </w:trPr>
        <w:tc>
          <w:tcPr>
            <w:tcW w:w="1812" w:type="dxa"/>
            <w:noWrap/>
            <w:vAlign w:val="center"/>
          </w:tcPr>
          <w:p w:rsidR="009C12BA" w:rsidRPr="000D0EAC" w:rsidRDefault="009C12BA" w:rsidP="00B808DD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0D0EAC">
              <w:rPr>
                <w:rFonts w:eastAsia="Times New Roman"/>
                <w:color w:val="000000"/>
                <w:sz w:val="20"/>
              </w:rPr>
              <w:t>px459-SPTLC2-gRNA1</w:t>
            </w:r>
          </w:p>
        </w:tc>
        <w:tc>
          <w:tcPr>
            <w:tcW w:w="4619" w:type="dxa"/>
            <w:vAlign w:val="center"/>
          </w:tcPr>
          <w:p w:rsidR="009C12BA" w:rsidRPr="000D0EAC" w:rsidRDefault="009C12BA" w:rsidP="00B808DD">
            <w:pPr>
              <w:jc w:val="center"/>
              <w:rPr>
                <w:rFonts w:eastAsia="Times New Roman"/>
                <w:color w:val="000000"/>
                <w:sz w:val="20"/>
                <w:lang w:val="es-ES"/>
              </w:rPr>
            </w:pPr>
            <w:r w:rsidRPr="000D0EAC">
              <w:rPr>
                <w:sz w:val="20"/>
                <w:lang w:val="es-ES"/>
              </w:rPr>
              <w:t xml:space="preserve">px459-CRISPR/Cas9-Puro vector, </w:t>
            </w:r>
            <w:r w:rsidRPr="000D0EAC">
              <w:rPr>
                <w:i/>
                <w:iCs/>
                <w:sz w:val="20"/>
                <w:lang w:val="es-ES"/>
              </w:rPr>
              <w:t>U6p-</w:t>
            </w:r>
            <w:r w:rsidRPr="000D0EAC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>SPTLC2-gRNA1-polIIIt</w:t>
            </w:r>
          </w:p>
        </w:tc>
        <w:tc>
          <w:tcPr>
            <w:tcW w:w="2636" w:type="dxa"/>
            <w:noWrap/>
            <w:vAlign w:val="center"/>
          </w:tcPr>
          <w:p w:rsidR="009C12BA" w:rsidRPr="000D0EAC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0D0EAC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  <w:tr w:rsidR="009C12BA" w:rsidRPr="000D0EAC" w:rsidTr="00B808D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noWrap/>
            <w:vAlign w:val="center"/>
          </w:tcPr>
          <w:p w:rsidR="009C12BA" w:rsidRPr="000D0EAC" w:rsidRDefault="009C12BA" w:rsidP="00B808DD">
            <w:pPr>
              <w:jc w:val="center"/>
              <w:rPr>
                <w:rFonts w:eastAsia="Times New Roman"/>
                <w:color w:val="000000"/>
                <w:sz w:val="20"/>
              </w:rPr>
            </w:pPr>
            <w:r w:rsidRPr="000D0EAC">
              <w:rPr>
                <w:rFonts w:eastAsia="Times New Roman"/>
                <w:color w:val="000000"/>
                <w:sz w:val="20"/>
              </w:rPr>
              <w:t>px459-SPTLC2-gRNA2</w:t>
            </w:r>
          </w:p>
        </w:tc>
        <w:tc>
          <w:tcPr>
            <w:tcW w:w="4619" w:type="dxa"/>
            <w:vAlign w:val="center"/>
          </w:tcPr>
          <w:p w:rsidR="009C12BA" w:rsidRPr="000D0EAC" w:rsidRDefault="009C12BA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lang w:val="es-ES"/>
              </w:rPr>
            </w:pPr>
            <w:r w:rsidRPr="000D0EAC">
              <w:rPr>
                <w:sz w:val="20"/>
                <w:lang w:val="es-ES"/>
              </w:rPr>
              <w:t xml:space="preserve">px459-CRISPR/Cas9-Puro vector, </w:t>
            </w:r>
            <w:r w:rsidRPr="000D0EAC">
              <w:rPr>
                <w:i/>
                <w:iCs/>
                <w:sz w:val="20"/>
                <w:lang w:val="es-ES"/>
              </w:rPr>
              <w:t>U6p-</w:t>
            </w:r>
            <w:r w:rsidRPr="000D0EAC">
              <w:rPr>
                <w:rFonts w:eastAsia="Times New Roman"/>
                <w:i/>
                <w:iCs/>
                <w:color w:val="000000"/>
                <w:sz w:val="20"/>
                <w:lang w:val="es-ES"/>
              </w:rPr>
              <w:t>SPTLC2-gRNA2-polIIIt</w:t>
            </w:r>
          </w:p>
        </w:tc>
        <w:tc>
          <w:tcPr>
            <w:tcW w:w="2636" w:type="dxa"/>
            <w:noWrap/>
            <w:vAlign w:val="center"/>
          </w:tcPr>
          <w:p w:rsidR="009C12BA" w:rsidRPr="000D0EAC" w:rsidRDefault="009C12BA" w:rsidP="00B80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</w:rPr>
            </w:pPr>
            <w:r w:rsidRPr="000D0EAC">
              <w:rPr>
                <w:rFonts w:eastAsia="Times New Roman"/>
                <w:color w:val="000000"/>
                <w:sz w:val="20"/>
              </w:rPr>
              <w:t>This study</w:t>
            </w:r>
          </w:p>
        </w:tc>
      </w:tr>
    </w:tbl>
    <w:p w:rsidR="009C12BA" w:rsidRPr="000D0EAC" w:rsidRDefault="009C12BA" w:rsidP="009C12BA">
      <w:pPr>
        <w:rPr>
          <w:sz w:val="20"/>
        </w:rPr>
      </w:pPr>
      <w:r w:rsidRPr="000D0EAC">
        <w:rPr>
          <w:sz w:val="20"/>
        </w:rPr>
        <w:t>*Gene expression is controlled by its native promoter and terminator.</w:t>
      </w:r>
    </w:p>
    <w:p w:rsidR="00375996" w:rsidRDefault="00375996"/>
    <w:sectPr w:rsidR="00375996" w:rsidSect="003A1624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BA"/>
    <w:rsid w:val="000067C2"/>
    <w:rsid w:val="00066810"/>
    <w:rsid w:val="000901D6"/>
    <w:rsid w:val="000B6E38"/>
    <w:rsid w:val="000B7605"/>
    <w:rsid w:val="000D1F76"/>
    <w:rsid w:val="000D212B"/>
    <w:rsid w:val="000D4C9E"/>
    <w:rsid w:val="00110ED0"/>
    <w:rsid w:val="001111E9"/>
    <w:rsid w:val="00112AE1"/>
    <w:rsid w:val="00112B5E"/>
    <w:rsid w:val="00145022"/>
    <w:rsid w:val="00153539"/>
    <w:rsid w:val="0018178A"/>
    <w:rsid w:val="001848CD"/>
    <w:rsid w:val="00194E7C"/>
    <w:rsid w:val="001E3218"/>
    <w:rsid w:val="00214290"/>
    <w:rsid w:val="00224C6E"/>
    <w:rsid w:val="00241347"/>
    <w:rsid w:val="00243177"/>
    <w:rsid w:val="00284CCB"/>
    <w:rsid w:val="002947C8"/>
    <w:rsid w:val="002B43F9"/>
    <w:rsid w:val="002B4823"/>
    <w:rsid w:val="002E7A86"/>
    <w:rsid w:val="00342A47"/>
    <w:rsid w:val="00347F1D"/>
    <w:rsid w:val="00375996"/>
    <w:rsid w:val="003912BE"/>
    <w:rsid w:val="00397EFE"/>
    <w:rsid w:val="003A1624"/>
    <w:rsid w:val="003E5A9C"/>
    <w:rsid w:val="00403039"/>
    <w:rsid w:val="00403E46"/>
    <w:rsid w:val="00456704"/>
    <w:rsid w:val="00467906"/>
    <w:rsid w:val="004739C2"/>
    <w:rsid w:val="00484A0F"/>
    <w:rsid w:val="00490769"/>
    <w:rsid w:val="004A40F9"/>
    <w:rsid w:val="004B111F"/>
    <w:rsid w:val="004D0BAC"/>
    <w:rsid w:val="004F127A"/>
    <w:rsid w:val="004F28F2"/>
    <w:rsid w:val="00504CEA"/>
    <w:rsid w:val="00506B5E"/>
    <w:rsid w:val="00533D4C"/>
    <w:rsid w:val="005343F8"/>
    <w:rsid w:val="00594989"/>
    <w:rsid w:val="00594AFB"/>
    <w:rsid w:val="005B62D8"/>
    <w:rsid w:val="005C2C9F"/>
    <w:rsid w:val="005F5B32"/>
    <w:rsid w:val="006064EA"/>
    <w:rsid w:val="00617C56"/>
    <w:rsid w:val="00624A60"/>
    <w:rsid w:val="006268F6"/>
    <w:rsid w:val="0063585E"/>
    <w:rsid w:val="00667A75"/>
    <w:rsid w:val="006840A3"/>
    <w:rsid w:val="006A07DA"/>
    <w:rsid w:val="006A3EFC"/>
    <w:rsid w:val="006B11CF"/>
    <w:rsid w:val="006B73A8"/>
    <w:rsid w:val="006B7C09"/>
    <w:rsid w:val="006C6E0E"/>
    <w:rsid w:val="006F0146"/>
    <w:rsid w:val="00712DE2"/>
    <w:rsid w:val="00737418"/>
    <w:rsid w:val="007451C1"/>
    <w:rsid w:val="0077095B"/>
    <w:rsid w:val="0077643B"/>
    <w:rsid w:val="007775C2"/>
    <w:rsid w:val="00795EEB"/>
    <w:rsid w:val="007A0497"/>
    <w:rsid w:val="007B0D50"/>
    <w:rsid w:val="007E1C5D"/>
    <w:rsid w:val="007E64A3"/>
    <w:rsid w:val="007F16FC"/>
    <w:rsid w:val="00816921"/>
    <w:rsid w:val="008931DC"/>
    <w:rsid w:val="00894961"/>
    <w:rsid w:val="008D5E12"/>
    <w:rsid w:val="00945598"/>
    <w:rsid w:val="009B08C7"/>
    <w:rsid w:val="009B58A0"/>
    <w:rsid w:val="009C12BA"/>
    <w:rsid w:val="009F3393"/>
    <w:rsid w:val="00A4761C"/>
    <w:rsid w:val="00A510AA"/>
    <w:rsid w:val="00A62CAC"/>
    <w:rsid w:val="00AA170B"/>
    <w:rsid w:val="00AF0D25"/>
    <w:rsid w:val="00B03693"/>
    <w:rsid w:val="00B17959"/>
    <w:rsid w:val="00B47ED0"/>
    <w:rsid w:val="00B55607"/>
    <w:rsid w:val="00B75A62"/>
    <w:rsid w:val="00B9797C"/>
    <w:rsid w:val="00BD636C"/>
    <w:rsid w:val="00BF244E"/>
    <w:rsid w:val="00C06C4F"/>
    <w:rsid w:val="00C50444"/>
    <w:rsid w:val="00C50A8D"/>
    <w:rsid w:val="00C93F88"/>
    <w:rsid w:val="00C9596B"/>
    <w:rsid w:val="00CA22B1"/>
    <w:rsid w:val="00CA5314"/>
    <w:rsid w:val="00CF4F6D"/>
    <w:rsid w:val="00CF5F1C"/>
    <w:rsid w:val="00CF5FFC"/>
    <w:rsid w:val="00CF6AD4"/>
    <w:rsid w:val="00D055FE"/>
    <w:rsid w:val="00D11AF3"/>
    <w:rsid w:val="00D162C9"/>
    <w:rsid w:val="00D17366"/>
    <w:rsid w:val="00D31ADE"/>
    <w:rsid w:val="00E0395E"/>
    <w:rsid w:val="00E774E9"/>
    <w:rsid w:val="00E84E37"/>
    <w:rsid w:val="00E92C6B"/>
    <w:rsid w:val="00EA6A8D"/>
    <w:rsid w:val="00EB79DF"/>
    <w:rsid w:val="00EE128F"/>
    <w:rsid w:val="00F04BB0"/>
    <w:rsid w:val="00F33B68"/>
    <w:rsid w:val="00F7030D"/>
    <w:rsid w:val="00FA013F"/>
    <w:rsid w:val="00FB0EF5"/>
    <w:rsid w:val="00FD4750"/>
    <w:rsid w:val="00FD5E35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EACAA"/>
  <w15:chartTrackingRefBased/>
  <w15:docId w15:val="{5584D8F3-4DB0-AE47-8AE2-81F7A97F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BA"/>
    <w:rPr>
      <w:rFonts w:ascii="Times New Roman" w:hAnsi="Times New Roman" w:cs="Times New Roman"/>
      <w:kern w:val="0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9C12BA"/>
    <w:rPr>
      <w:lang w:val="en-US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insideH w:val="nil"/>
        </w:tcBorders>
      </w:tcPr>
    </w:tblStylePr>
    <w:tblStylePr w:type="firstCol"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xiuling cao</dc:creator>
  <cp:keywords/>
  <dc:description/>
  <cp:lastModifiedBy>xiuling cao</cp:lastModifiedBy>
  <cp:revision>1</cp:revision>
  <dcterms:created xsi:type="dcterms:W3CDTF">2023-08-23T03:30:00Z</dcterms:created>
  <dcterms:modified xsi:type="dcterms:W3CDTF">2023-08-23T03:34:00Z</dcterms:modified>
</cp:coreProperties>
</file>