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2694E" w14:textId="7177E37E" w:rsidR="007035CC" w:rsidRPr="00185DC2" w:rsidRDefault="004E5C29" w:rsidP="007035CC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Supplementa</w:t>
      </w:r>
      <w:r w:rsidR="00B722E7">
        <w:rPr>
          <w:rFonts w:cs="Arial"/>
          <w:b/>
          <w:bCs/>
          <w:sz w:val="20"/>
          <w:szCs w:val="20"/>
        </w:rPr>
        <w:t>ry</w:t>
      </w:r>
      <w:bookmarkStart w:id="0" w:name="_GoBack"/>
      <w:bookmarkEnd w:id="0"/>
      <w:r>
        <w:rPr>
          <w:rFonts w:cs="Arial"/>
          <w:b/>
          <w:bCs/>
          <w:sz w:val="20"/>
          <w:szCs w:val="20"/>
        </w:rPr>
        <w:t xml:space="preserve"> File 1</w:t>
      </w:r>
      <w:r w:rsidR="007035CC" w:rsidRPr="00185DC2">
        <w:rPr>
          <w:rFonts w:cs="Arial"/>
          <w:b/>
          <w:bCs/>
          <w:sz w:val="20"/>
          <w:szCs w:val="20"/>
        </w:rPr>
        <w:t>. Predicted and measured apparent transfer free energies of mGnRHR TM6.</w:t>
      </w:r>
    </w:p>
    <w:tbl>
      <w:tblPr>
        <w:tblW w:w="0" w:type="auto"/>
        <w:jc w:val="center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F67CEA" w14:paraId="01AC91C4" w14:textId="77777777" w:rsidTr="00635CE4">
        <w:trPr>
          <w:jc w:val="center"/>
        </w:trPr>
        <w:tc>
          <w:tcPr>
            <w:tcW w:w="2337" w:type="dxa"/>
          </w:tcPr>
          <w:p w14:paraId="0D37AD38" w14:textId="567566C0" w:rsidR="00F67CEA" w:rsidRDefault="00F67CEA" w:rsidP="00E8517B">
            <w:pPr>
              <w:spacing w:line="240" w:lineRule="auto"/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Insert TMD</w:t>
            </w:r>
          </w:p>
        </w:tc>
        <w:tc>
          <w:tcPr>
            <w:tcW w:w="2338" w:type="dxa"/>
          </w:tcPr>
          <w:p w14:paraId="1168BE86" w14:textId="7926247C" w:rsidR="00F67CEA" w:rsidRPr="00E8517B" w:rsidRDefault="00F67CEA" w:rsidP="00E8517B">
            <w:pPr>
              <w:spacing w:line="240" w:lineRule="auto"/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</w:t>
            </w:r>
            <w:r>
              <w:rPr>
                <w:rFonts w:cs="Arial"/>
                <w:b/>
                <w:bCs/>
                <w:szCs w:val="20"/>
                <w:vertAlign w:val="subscript"/>
              </w:rPr>
              <w:t>app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864528">
              <w:rPr>
                <w:rFonts w:cs="Arial"/>
                <w:sz w:val="20"/>
                <w:szCs w:val="18"/>
              </w:rPr>
              <w:t>‡</w:t>
            </w:r>
          </w:p>
          <w:p w14:paraId="2BFD03A1" w14:textId="4740244C" w:rsidR="00F67CEA" w:rsidRPr="00E8517B" w:rsidRDefault="00F67CEA" w:rsidP="00E8517B">
            <w:pPr>
              <w:spacing w:line="240" w:lineRule="auto"/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(Int. </w:t>
            </w:r>
            <w:r>
              <w:rPr>
                <w:rFonts w:cs="Arial"/>
                <w:b/>
                <w:bCs/>
                <w:szCs w:val="20"/>
                <w:vertAlign w:val="subscript"/>
              </w:rPr>
              <w:t xml:space="preserve">G1 </w:t>
            </w:r>
            <w:r>
              <w:rPr>
                <w:rFonts w:cs="Arial"/>
                <w:b/>
                <w:bCs/>
                <w:szCs w:val="20"/>
              </w:rPr>
              <w:t xml:space="preserve">/ Int. </w:t>
            </w:r>
            <w:r>
              <w:rPr>
                <w:rFonts w:cs="Arial"/>
                <w:b/>
                <w:bCs/>
                <w:szCs w:val="20"/>
                <w:vertAlign w:val="subscript"/>
              </w:rPr>
              <w:t>G2</w:t>
            </w:r>
            <w:r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2337" w:type="dxa"/>
          </w:tcPr>
          <w:p w14:paraId="2AF784D8" w14:textId="61D51230" w:rsidR="00F67CEA" w:rsidRDefault="00F67CEA" w:rsidP="00E8517B">
            <w:pPr>
              <w:spacing w:line="240" w:lineRule="auto"/>
              <w:contextualSpacing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ΔG</w:t>
            </w:r>
            <w:r>
              <w:rPr>
                <w:rFonts w:cs="Arial"/>
                <w:b/>
                <w:bCs/>
                <w:szCs w:val="20"/>
                <w:vertAlign w:val="subscript"/>
              </w:rPr>
              <w:t>app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864528">
              <w:rPr>
                <w:rFonts w:cs="Arial"/>
                <w:sz w:val="20"/>
                <w:szCs w:val="18"/>
              </w:rPr>
              <w:t>‡</w:t>
            </w:r>
          </w:p>
          <w:p w14:paraId="02F07E51" w14:textId="74B01839" w:rsidR="00F67CEA" w:rsidRDefault="00F67CEA" w:rsidP="00E8517B">
            <w:pPr>
              <w:spacing w:line="240" w:lineRule="auto"/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(kcal/ mol)</w:t>
            </w:r>
          </w:p>
        </w:tc>
        <w:tc>
          <w:tcPr>
            <w:tcW w:w="2338" w:type="dxa"/>
          </w:tcPr>
          <w:p w14:paraId="23EA14DC" w14:textId="3169774A" w:rsidR="00F67CEA" w:rsidRDefault="00F67CEA" w:rsidP="00E8517B">
            <w:pPr>
              <w:spacing w:line="240" w:lineRule="auto"/>
              <w:contextualSpacing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ΔG</w:t>
            </w:r>
            <w:r>
              <w:rPr>
                <w:rFonts w:cs="Arial"/>
                <w:b/>
                <w:bCs/>
                <w:szCs w:val="20"/>
                <w:vertAlign w:val="subscript"/>
              </w:rPr>
              <w:t>app</w:t>
            </w:r>
            <w:proofErr w:type="spellEnd"/>
            <w:r>
              <w:rPr>
                <w:rFonts w:cs="Arial"/>
                <w:b/>
                <w:bCs/>
                <w:szCs w:val="20"/>
                <w:vertAlign w:val="subscript"/>
              </w:rPr>
              <w:t xml:space="preserve">, </w:t>
            </w:r>
            <w:proofErr w:type="spellStart"/>
            <w:r>
              <w:rPr>
                <w:rFonts w:cs="Arial"/>
                <w:b/>
                <w:bCs/>
                <w:szCs w:val="20"/>
                <w:vertAlign w:val="subscript"/>
              </w:rPr>
              <w:t>pred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864528">
              <w:rPr>
                <w:rFonts w:cs="Arial"/>
                <w:sz w:val="20"/>
                <w:szCs w:val="18"/>
              </w:rPr>
              <w:t>†</w:t>
            </w:r>
          </w:p>
          <w:p w14:paraId="5F2AA298" w14:textId="4AAE8326" w:rsidR="00F67CEA" w:rsidRPr="00E8517B" w:rsidRDefault="00F67CEA" w:rsidP="00E8517B">
            <w:pPr>
              <w:spacing w:line="240" w:lineRule="auto"/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(kcal/ mol)</w:t>
            </w:r>
          </w:p>
        </w:tc>
      </w:tr>
      <w:tr w:rsidR="00F67CEA" w14:paraId="51281609" w14:textId="77777777" w:rsidTr="00635CE4">
        <w:trPr>
          <w:jc w:val="center"/>
        </w:trPr>
        <w:tc>
          <w:tcPr>
            <w:tcW w:w="2337" w:type="dxa"/>
          </w:tcPr>
          <w:p w14:paraId="5460CFF0" w14:textId="3A6FA967" w:rsidR="00F67CEA" w:rsidRPr="00E8517B" w:rsidRDefault="00F67CEA" w:rsidP="00E8517B">
            <w:pPr>
              <w:spacing w:line="240" w:lineRule="auto"/>
              <w:contextualSpacing/>
              <w:rPr>
                <w:rFonts w:cs="Arial"/>
                <w:bCs/>
                <w:szCs w:val="20"/>
              </w:rPr>
            </w:pPr>
            <w:r w:rsidRPr="00E8517B">
              <w:rPr>
                <w:rFonts w:cs="Arial"/>
                <w:bCs/>
                <w:szCs w:val="20"/>
              </w:rPr>
              <w:t>WT TMD6</w:t>
            </w:r>
          </w:p>
        </w:tc>
        <w:tc>
          <w:tcPr>
            <w:tcW w:w="2338" w:type="dxa"/>
          </w:tcPr>
          <w:p w14:paraId="21160BD3" w14:textId="05749485" w:rsidR="00F67CEA" w:rsidRPr="00E8517B" w:rsidRDefault="00F67CEA" w:rsidP="00E8517B">
            <w:pPr>
              <w:spacing w:line="240" w:lineRule="auto"/>
              <w:contextualSpacing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1.2 ± 0.2</w:t>
            </w:r>
          </w:p>
        </w:tc>
        <w:tc>
          <w:tcPr>
            <w:tcW w:w="2337" w:type="dxa"/>
          </w:tcPr>
          <w:p w14:paraId="055D5E4D" w14:textId="37FEAABC" w:rsidR="00F67CEA" w:rsidRPr="00E8517B" w:rsidRDefault="00F67CEA" w:rsidP="00E8517B">
            <w:pPr>
              <w:spacing w:line="240" w:lineRule="auto"/>
              <w:contextualSpacing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-0.1 ± 0.1</w:t>
            </w:r>
          </w:p>
        </w:tc>
        <w:tc>
          <w:tcPr>
            <w:tcW w:w="2338" w:type="dxa"/>
          </w:tcPr>
          <w:p w14:paraId="69F75942" w14:textId="2DC1F060" w:rsidR="00F67CEA" w:rsidRPr="00E8517B" w:rsidRDefault="0011608B" w:rsidP="00E8517B">
            <w:pPr>
              <w:spacing w:line="240" w:lineRule="auto"/>
              <w:contextualSpacing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0.26</w:t>
            </w:r>
          </w:p>
        </w:tc>
      </w:tr>
      <w:tr w:rsidR="00F67CEA" w14:paraId="2717F560" w14:textId="77777777" w:rsidTr="00635CE4">
        <w:trPr>
          <w:jc w:val="center"/>
        </w:trPr>
        <w:tc>
          <w:tcPr>
            <w:tcW w:w="2337" w:type="dxa"/>
          </w:tcPr>
          <w:p w14:paraId="09E2480A" w14:textId="64BB51C2" w:rsidR="00F67CEA" w:rsidRPr="00E8517B" w:rsidRDefault="00F67CEA" w:rsidP="00E8517B">
            <w:pPr>
              <w:spacing w:line="240" w:lineRule="auto"/>
              <w:contextualSpacing/>
              <w:rPr>
                <w:rFonts w:cs="Arial"/>
                <w:bCs/>
                <w:szCs w:val="20"/>
              </w:rPr>
            </w:pPr>
            <w:r w:rsidRPr="00E8517B">
              <w:rPr>
                <w:rFonts w:cs="Arial"/>
                <w:bCs/>
                <w:szCs w:val="20"/>
              </w:rPr>
              <w:t>V276</w:t>
            </w:r>
            <w:r w:rsidR="001A1271">
              <w:rPr>
                <w:rFonts w:cs="Arial"/>
                <w:bCs/>
                <w:szCs w:val="20"/>
              </w:rPr>
              <w:t>T</w:t>
            </w:r>
            <w:r w:rsidRPr="00E8517B">
              <w:rPr>
                <w:rFonts w:cs="Arial"/>
                <w:bCs/>
                <w:szCs w:val="20"/>
              </w:rPr>
              <w:t xml:space="preserve"> </w:t>
            </w:r>
            <w:r w:rsidR="001A1271">
              <w:rPr>
                <w:rFonts w:cs="Arial"/>
                <w:bCs/>
                <w:szCs w:val="20"/>
              </w:rPr>
              <w:t>T</w:t>
            </w:r>
            <w:r w:rsidRPr="00E8517B">
              <w:rPr>
                <w:rFonts w:cs="Arial"/>
                <w:bCs/>
                <w:szCs w:val="20"/>
              </w:rPr>
              <w:t>MD6</w:t>
            </w:r>
          </w:p>
        </w:tc>
        <w:tc>
          <w:tcPr>
            <w:tcW w:w="2338" w:type="dxa"/>
          </w:tcPr>
          <w:p w14:paraId="48F26945" w14:textId="31DCC459" w:rsidR="00F67CEA" w:rsidRPr="00E8517B" w:rsidRDefault="00F67CEA" w:rsidP="00E8517B">
            <w:pPr>
              <w:spacing w:line="240" w:lineRule="auto"/>
              <w:contextualSpacing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0.7 ± 0.1</w:t>
            </w:r>
          </w:p>
        </w:tc>
        <w:tc>
          <w:tcPr>
            <w:tcW w:w="2337" w:type="dxa"/>
          </w:tcPr>
          <w:p w14:paraId="7941EF31" w14:textId="3FE8C19E" w:rsidR="00F67CEA" w:rsidRPr="00E8517B" w:rsidRDefault="00F67CEA" w:rsidP="00E8517B">
            <w:pPr>
              <w:spacing w:line="240" w:lineRule="auto"/>
              <w:contextualSpacing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0.2 ± 0.1</w:t>
            </w:r>
          </w:p>
        </w:tc>
        <w:tc>
          <w:tcPr>
            <w:tcW w:w="2338" w:type="dxa"/>
          </w:tcPr>
          <w:p w14:paraId="71821978" w14:textId="477F59C1" w:rsidR="00F67CEA" w:rsidRPr="00E8517B" w:rsidRDefault="0011608B" w:rsidP="00E8517B">
            <w:pPr>
              <w:spacing w:line="240" w:lineRule="auto"/>
              <w:contextualSpacing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0.805</w:t>
            </w:r>
          </w:p>
        </w:tc>
      </w:tr>
    </w:tbl>
    <w:p w14:paraId="6FF77E8E" w14:textId="77777777" w:rsidR="003206EA" w:rsidRDefault="003206EA" w:rsidP="007035CC">
      <w:pPr>
        <w:spacing w:line="240" w:lineRule="auto"/>
        <w:rPr>
          <w:rFonts w:cs="Arial"/>
          <w:sz w:val="20"/>
          <w:szCs w:val="18"/>
        </w:rPr>
      </w:pPr>
    </w:p>
    <w:p w14:paraId="37B1121F" w14:textId="77777777" w:rsidR="003206EA" w:rsidRPr="00864528" w:rsidRDefault="003206EA" w:rsidP="003206EA">
      <w:pPr>
        <w:spacing w:line="240" w:lineRule="auto"/>
        <w:rPr>
          <w:rFonts w:cs="Arial"/>
          <w:sz w:val="20"/>
          <w:szCs w:val="18"/>
        </w:rPr>
      </w:pPr>
      <w:r w:rsidRPr="00864528">
        <w:rPr>
          <w:rFonts w:cs="Arial"/>
          <w:sz w:val="20"/>
          <w:szCs w:val="18"/>
        </w:rPr>
        <w:t>‡Values represent the average of three experimental replicates, and errors represent the standard deviation.</w:t>
      </w:r>
    </w:p>
    <w:p w14:paraId="2E15D3EA" w14:textId="6B357F5D" w:rsidR="0011608B" w:rsidRPr="004E5C29" w:rsidRDefault="007035CC" w:rsidP="004E5C29">
      <w:pPr>
        <w:spacing w:line="240" w:lineRule="auto"/>
        <w:rPr>
          <w:rFonts w:cs="Arial"/>
          <w:sz w:val="20"/>
          <w:szCs w:val="18"/>
        </w:rPr>
      </w:pPr>
      <w:r w:rsidRPr="00864528">
        <w:rPr>
          <w:rFonts w:cs="Arial"/>
          <w:sz w:val="20"/>
          <w:szCs w:val="18"/>
        </w:rPr>
        <w:t>†Values predicted from the TM6 sequence using the ΔG Predictor.</w:t>
      </w:r>
    </w:p>
    <w:sectPr w:rsidR="0011608B" w:rsidRPr="004E5C29" w:rsidSect="00AC17CA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3E39D" w14:textId="77777777" w:rsidR="0011608B" w:rsidRDefault="0011608B" w:rsidP="007035CC">
      <w:pPr>
        <w:spacing w:line="240" w:lineRule="auto"/>
      </w:pPr>
      <w:r>
        <w:separator/>
      </w:r>
    </w:p>
  </w:endnote>
  <w:endnote w:type="continuationSeparator" w:id="0">
    <w:p w14:paraId="37D98873" w14:textId="77777777" w:rsidR="0011608B" w:rsidRDefault="0011608B" w:rsidP="00703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35020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8BF5EF" w14:textId="07FC5AB0" w:rsidR="0011608B" w:rsidRDefault="0011608B" w:rsidP="001160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71A506C" w14:textId="77777777" w:rsidR="0011608B" w:rsidRDefault="0011608B" w:rsidP="007035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511642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F34C08" w14:textId="413809F9" w:rsidR="0011608B" w:rsidRDefault="0011608B" w:rsidP="001160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BBE2A8" w14:textId="77777777" w:rsidR="0011608B" w:rsidRDefault="0011608B" w:rsidP="007035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BB1BA" w14:textId="77777777" w:rsidR="0011608B" w:rsidRDefault="0011608B" w:rsidP="007035CC">
      <w:pPr>
        <w:spacing w:line="240" w:lineRule="auto"/>
      </w:pPr>
      <w:r>
        <w:separator/>
      </w:r>
    </w:p>
  </w:footnote>
  <w:footnote w:type="continuationSeparator" w:id="0">
    <w:p w14:paraId="7346391D" w14:textId="77777777" w:rsidR="0011608B" w:rsidRDefault="0011608B" w:rsidP="00703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2CD5E" w14:textId="5DD611C9" w:rsidR="0011608B" w:rsidRDefault="0011608B" w:rsidP="007035CC">
    <w:pPr>
      <w:pStyle w:val="Header"/>
      <w:jc w:val="right"/>
    </w:pPr>
    <w:r>
      <w:t>Chamness et al.</w:t>
    </w:r>
  </w:p>
  <w:p w14:paraId="622D5362" w14:textId="77777777" w:rsidR="0011608B" w:rsidRDefault="00116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30B1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B0B8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76F5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52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388E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C061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2D5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68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F61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124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09B2"/>
    <w:multiLevelType w:val="hybridMultilevel"/>
    <w:tmpl w:val="495A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954F4"/>
    <w:multiLevelType w:val="hybridMultilevel"/>
    <w:tmpl w:val="6E2A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3308B"/>
    <w:multiLevelType w:val="hybridMultilevel"/>
    <w:tmpl w:val="96A6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CC"/>
    <w:rsid w:val="00004D23"/>
    <w:rsid w:val="0001099F"/>
    <w:rsid w:val="00012460"/>
    <w:rsid w:val="00012F91"/>
    <w:rsid w:val="00033DA8"/>
    <w:rsid w:val="00074AEF"/>
    <w:rsid w:val="000D6BBD"/>
    <w:rsid w:val="000E1569"/>
    <w:rsid w:val="000E76A1"/>
    <w:rsid w:val="0011608B"/>
    <w:rsid w:val="00116D7F"/>
    <w:rsid w:val="0016170F"/>
    <w:rsid w:val="00161EFB"/>
    <w:rsid w:val="001650D7"/>
    <w:rsid w:val="00166F1F"/>
    <w:rsid w:val="00187C86"/>
    <w:rsid w:val="001902ED"/>
    <w:rsid w:val="001A1271"/>
    <w:rsid w:val="001A2AEB"/>
    <w:rsid w:val="001A347B"/>
    <w:rsid w:val="001A70F5"/>
    <w:rsid w:val="001B435F"/>
    <w:rsid w:val="001D2A90"/>
    <w:rsid w:val="001E277A"/>
    <w:rsid w:val="001E6B57"/>
    <w:rsid w:val="001F0BF8"/>
    <w:rsid w:val="001F7791"/>
    <w:rsid w:val="0021679B"/>
    <w:rsid w:val="00225818"/>
    <w:rsid w:val="002361C0"/>
    <w:rsid w:val="0024053D"/>
    <w:rsid w:val="00256E13"/>
    <w:rsid w:val="002668EA"/>
    <w:rsid w:val="002677DD"/>
    <w:rsid w:val="002715FD"/>
    <w:rsid w:val="00294BF6"/>
    <w:rsid w:val="002A2E5B"/>
    <w:rsid w:val="002B4BBB"/>
    <w:rsid w:val="002B7696"/>
    <w:rsid w:val="002C677C"/>
    <w:rsid w:val="002D4B05"/>
    <w:rsid w:val="002E16B7"/>
    <w:rsid w:val="002F06E4"/>
    <w:rsid w:val="002F4D75"/>
    <w:rsid w:val="0030644F"/>
    <w:rsid w:val="00314F60"/>
    <w:rsid w:val="003161FA"/>
    <w:rsid w:val="003206EA"/>
    <w:rsid w:val="003219E9"/>
    <w:rsid w:val="00335709"/>
    <w:rsid w:val="00336B35"/>
    <w:rsid w:val="00351360"/>
    <w:rsid w:val="00352A66"/>
    <w:rsid w:val="00353B84"/>
    <w:rsid w:val="00373EAB"/>
    <w:rsid w:val="00374DBE"/>
    <w:rsid w:val="00382D2A"/>
    <w:rsid w:val="00383360"/>
    <w:rsid w:val="003903E1"/>
    <w:rsid w:val="0039702E"/>
    <w:rsid w:val="003B1329"/>
    <w:rsid w:val="003B62DB"/>
    <w:rsid w:val="003C011C"/>
    <w:rsid w:val="003C60D8"/>
    <w:rsid w:val="003D42C1"/>
    <w:rsid w:val="003F0B09"/>
    <w:rsid w:val="003F5EFB"/>
    <w:rsid w:val="00423DEE"/>
    <w:rsid w:val="00432EED"/>
    <w:rsid w:val="004617DC"/>
    <w:rsid w:val="004654CF"/>
    <w:rsid w:val="00481AF4"/>
    <w:rsid w:val="00487CC6"/>
    <w:rsid w:val="004A32E1"/>
    <w:rsid w:val="004A560C"/>
    <w:rsid w:val="004A5ED9"/>
    <w:rsid w:val="004B1710"/>
    <w:rsid w:val="004D4718"/>
    <w:rsid w:val="004D54CD"/>
    <w:rsid w:val="004E3E8E"/>
    <w:rsid w:val="004E5C29"/>
    <w:rsid w:val="004F3F61"/>
    <w:rsid w:val="005116AA"/>
    <w:rsid w:val="00542670"/>
    <w:rsid w:val="005515A8"/>
    <w:rsid w:val="0056054D"/>
    <w:rsid w:val="00587480"/>
    <w:rsid w:val="00591955"/>
    <w:rsid w:val="005955CD"/>
    <w:rsid w:val="005A14A9"/>
    <w:rsid w:val="005A38E5"/>
    <w:rsid w:val="005C0770"/>
    <w:rsid w:val="005C333B"/>
    <w:rsid w:val="005C7FA7"/>
    <w:rsid w:val="005D7E72"/>
    <w:rsid w:val="005F371C"/>
    <w:rsid w:val="00635CE4"/>
    <w:rsid w:val="0064771B"/>
    <w:rsid w:val="006543D4"/>
    <w:rsid w:val="00664F9C"/>
    <w:rsid w:val="006C52DA"/>
    <w:rsid w:val="006E1BB6"/>
    <w:rsid w:val="006F56D3"/>
    <w:rsid w:val="007020B3"/>
    <w:rsid w:val="007035CC"/>
    <w:rsid w:val="0071187C"/>
    <w:rsid w:val="00712158"/>
    <w:rsid w:val="00724CA8"/>
    <w:rsid w:val="0072590B"/>
    <w:rsid w:val="0072724C"/>
    <w:rsid w:val="0074466C"/>
    <w:rsid w:val="007567E3"/>
    <w:rsid w:val="00756ECF"/>
    <w:rsid w:val="007670D0"/>
    <w:rsid w:val="00794AFF"/>
    <w:rsid w:val="00797997"/>
    <w:rsid w:val="007D62EF"/>
    <w:rsid w:val="007F1BD9"/>
    <w:rsid w:val="007F55F3"/>
    <w:rsid w:val="00800C61"/>
    <w:rsid w:val="00812D1F"/>
    <w:rsid w:val="0081502B"/>
    <w:rsid w:val="00850AC8"/>
    <w:rsid w:val="00876341"/>
    <w:rsid w:val="008808E6"/>
    <w:rsid w:val="00881077"/>
    <w:rsid w:val="00895DEB"/>
    <w:rsid w:val="008B1766"/>
    <w:rsid w:val="008C19C6"/>
    <w:rsid w:val="008C38CC"/>
    <w:rsid w:val="008D6400"/>
    <w:rsid w:val="008E3FB4"/>
    <w:rsid w:val="008F5364"/>
    <w:rsid w:val="0090062C"/>
    <w:rsid w:val="009323A6"/>
    <w:rsid w:val="0094443C"/>
    <w:rsid w:val="00946D9C"/>
    <w:rsid w:val="00956FFB"/>
    <w:rsid w:val="00987BD1"/>
    <w:rsid w:val="009A13AD"/>
    <w:rsid w:val="009A5E6A"/>
    <w:rsid w:val="009B2F31"/>
    <w:rsid w:val="009D789C"/>
    <w:rsid w:val="009E3E11"/>
    <w:rsid w:val="00A045C6"/>
    <w:rsid w:val="00A04B03"/>
    <w:rsid w:val="00A27B93"/>
    <w:rsid w:val="00A47E4A"/>
    <w:rsid w:val="00A52571"/>
    <w:rsid w:val="00A55695"/>
    <w:rsid w:val="00A77245"/>
    <w:rsid w:val="00A81621"/>
    <w:rsid w:val="00A900B3"/>
    <w:rsid w:val="00A910F0"/>
    <w:rsid w:val="00AC17CA"/>
    <w:rsid w:val="00AC53FC"/>
    <w:rsid w:val="00AC6EE2"/>
    <w:rsid w:val="00AD1D85"/>
    <w:rsid w:val="00AD4330"/>
    <w:rsid w:val="00AD46F6"/>
    <w:rsid w:val="00AE7D95"/>
    <w:rsid w:val="00B06358"/>
    <w:rsid w:val="00B254B6"/>
    <w:rsid w:val="00B43B62"/>
    <w:rsid w:val="00B52351"/>
    <w:rsid w:val="00B722E7"/>
    <w:rsid w:val="00B80F93"/>
    <w:rsid w:val="00B853FA"/>
    <w:rsid w:val="00BA0A6C"/>
    <w:rsid w:val="00BB083B"/>
    <w:rsid w:val="00BC3737"/>
    <w:rsid w:val="00BD442B"/>
    <w:rsid w:val="00C022C2"/>
    <w:rsid w:val="00C43263"/>
    <w:rsid w:val="00C65A37"/>
    <w:rsid w:val="00C70C6B"/>
    <w:rsid w:val="00C71A63"/>
    <w:rsid w:val="00C80A31"/>
    <w:rsid w:val="00C8149D"/>
    <w:rsid w:val="00C835EA"/>
    <w:rsid w:val="00C949DA"/>
    <w:rsid w:val="00CB5EE4"/>
    <w:rsid w:val="00CB67C2"/>
    <w:rsid w:val="00CC19D8"/>
    <w:rsid w:val="00CC3C05"/>
    <w:rsid w:val="00CC6F15"/>
    <w:rsid w:val="00CE399B"/>
    <w:rsid w:val="00CF269C"/>
    <w:rsid w:val="00CF6DA1"/>
    <w:rsid w:val="00D10923"/>
    <w:rsid w:val="00D11457"/>
    <w:rsid w:val="00D2239D"/>
    <w:rsid w:val="00D23277"/>
    <w:rsid w:val="00D34BA4"/>
    <w:rsid w:val="00D40FEB"/>
    <w:rsid w:val="00D529BA"/>
    <w:rsid w:val="00D640F7"/>
    <w:rsid w:val="00D66E9F"/>
    <w:rsid w:val="00D67730"/>
    <w:rsid w:val="00D8338B"/>
    <w:rsid w:val="00D917AC"/>
    <w:rsid w:val="00DC1A2B"/>
    <w:rsid w:val="00DC4F00"/>
    <w:rsid w:val="00DD4F30"/>
    <w:rsid w:val="00DD51F8"/>
    <w:rsid w:val="00E04E49"/>
    <w:rsid w:val="00E05DCE"/>
    <w:rsid w:val="00E16353"/>
    <w:rsid w:val="00E31022"/>
    <w:rsid w:val="00E32641"/>
    <w:rsid w:val="00E42525"/>
    <w:rsid w:val="00E63C0E"/>
    <w:rsid w:val="00E84B8F"/>
    <w:rsid w:val="00E8517B"/>
    <w:rsid w:val="00E91A2C"/>
    <w:rsid w:val="00E94ED1"/>
    <w:rsid w:val="00EB02B6"/>
    <w:rsid w:val="00EB11B0"/>
    <w:rsid w:val="00EB1B96"/>
    <w:rsid w:val="00EC15A6"/>
    <w:rsid w:val="00EE070B"/>
    <w:rsid w:val="00EE4DB7"/>
    <w:rsid w:val="00EF64EC"/>
    <w:rsid w:val="00F012E2"/>
    <w:rsid w:val="00F21784"/>
    <w:rsid w:val="00F37298"/>
    <w:rsid w:val="00F65251"/>
    <w:rsid w:val="00F66363"/>
    <w:rsid w:val="00F67CEA"/>
    <w:rsid w:val="00F77A50"/>
    <w:rsid w:val="00F869F7"/>
    <w:rsid w:val="00F96631"/>
    <w:rsid w:val="00FB1A46"/>
    <w:rsid w:val="00FC3B4C"/>
    <w:rsid w:val="00FC483C"/>
    <w:rsid w:val="00FC50BA"/>
    <w:rsid w:val="00FE31E0"/>
    <w:rsid w:val="00FE4BA4"/>
    <w:rsid w:val="00FE6A4A"/>
    <w:rsid w:val="00FF2CEF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2F73"/>
  <w15:chartTrackingRefBased/>
  <w15:docId w15:val="{A3E1AE64-A75E-0245-9758-512E1AB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5CC"/>
    <w:pPr>
      <w:spacing w:line="480" w:lineRule="auto"/>
      <w:jc w:val="both"/>
    </w:pPr>
    <w:rPr>
      <w:rFonts w:eastAsiaTheme="minorEastAsia"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08B"/>
    <w:pPr>
      <w:keepNext/>
      <w:keepLines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1608B"/>
    <w:pPr>
      <w:keepNext/>
      <w:keepLines/>
      <w:contextualSpacing/>
      <w:outlineLvl w:val="1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08B"/>
    <w:pPr>
      <w:keepNext/>
      <w:keepLines/>
      <w:contextualSpacing/>
      <w:outlineLvl w:val="2"/>
    </w:pPr>
    <w:rPr>
      <w:rFonts w:eastAsia="Times New Roman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08B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08B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608B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08B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08B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08B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08B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11608B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608B"/>
    <w:rPr>
      <w:rFonts w:eastAsia="Times New Roman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11608B"/>
    <w:rPr>
      <w:rFonts w:asciiTheme="majorHAnsi" w:eastAsiaTheme="majorEastAsia" w:hAnsiTheme="majorHAnsi" w:cstheme="majorBidi"/>
      <w:b/>
      <w:bCs/>
      <w:i/>
      <w:iCs/>
      <w:szCs w:val="22"/>
    </w:rPr>
  </w:style>
  <w:style w:type="paragraph" w:styleId="Header">
    <w:name w:val="header"/>
    <w:basedOn w:val="Normal"/>
    <w:link w:val="HeaderChar"/>
    <w:uiPriority w:val="99"/>
    <w:unhideWhenUsed/>
    <w:rsid w:val="007035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5CC"/>
    <w:rPr>
      <w:rFonts w:eastAsiaTheme="minorEastAsia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7035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5CC"/>
    <w:rPr>
      <w:rFonts w:eastAsiaTheme="minorEastAsia" w:cstheme="minorBidi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035CC"/>
  </w:style>
  <w:style w:type="table" w:styleId="TableGrid">
    <w:name w:val="Table Grid"/>
    <w:basedOn w:val="TableNormal"/>
    <w:uiPriority w:val="39"/>
    <w:rsid w:val="00E85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1608B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08B"/>
    <w:rPr>
      <w:rFonts w:asciiTheme="majorHAnsi" w:eastAsiaTheme="majorEastAsia" w:hAnsiTheme="majorHAnsi" w:cstheme="maj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08B"/>
    <w:rPr>
      <w:rFonts w:eastAsiaTheme="minorEastAsia" w:cstheme="minorBidi"/>
      <w:i/>
      <w:iCs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08B"/>
    <w:rPr>
      <w:rFonts w:eastAsiaTheme="minorEastAsia" w:cstheme="minorBidi"/>
      <w:b/>
      <w:bCs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08B"/>
    <w:rPr>
      <w:rFonts w:eastAsiaTheme="minorEastAsia" w:cstheme="minorBidi"/>
      <w:i/>
      <w:iCs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11608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1608B"/>
    <w:pPr>
      <w:spacing w:after="100" w:line="259" w:lineRule="auto"/>
      <w:ind w:left="22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11608B"/>
    <w:pPr>
      <w:tabs>
        <w:tab w:val="right" w:leader="dot" w:pos="9350"/>
      </w:tabs>
      <w:spacing w:after="100" w:line="259" w:lineRule="auto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11608B"/>
    <w:pPr>
      <w:spacing w:after="100" w:line="259" w:lineRule="auto"/>
      <w:ind w:left="440"/>
    </w:pPr>
    <w:rPr>
      <w:rFonts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11608B"/>
    <w:pPr>
      <w:spacing w:line="240" w:lineRule="auto"/>
    </w:pPr>
    <w:rPr>
      <w:b/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608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1608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08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08B"/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11608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1608B"/>
    <w:rPr>
      <w:i/>
      <w:iCs/>
      <w:color w:val="auto"/>
    </w:rPr>
  </w:style>
  <w:style w:type="paragraph" w:styleId="NoSpacing">
    <w:name w:val="No Spacing"/>
    <w:uiPriority w:val="1"/>
    <w:qFormat/>
    <w:rsid w:val="0011608B"/>
    <w:pPr>
      <w:jc w:val="both"/>
    </w:pPr>
    <w:rPr>
      <w:rFonts w:eastAsiaTheme="minorEastAsia" w:cstheme="minorBidi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1608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08B"/>
    <w:rPr>
      <w:rFonts w:asciiTheme="majorHAnsi" w:eastAsiaTheme="majorEastAsia" w:hAnsiTheme="majorHAnsi" w:cstheme="majorBidi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08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08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1608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160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1608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1608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11608B"/>
    <w:rPr>
      <w:b/>
      <w:bCs/>
      <w:smallCaps/>
      <w:color w:val="auto"/>
    </w:rPr>
  </w:style>
  <w:style w:type="character" w:styleId="Hyperlink">
    <w:name w:val="Hyperlink"/>
    <w:basedOn w:val="DefaultParagraphFont"/>
    <w:uiPriority w:val="99"/>
    <w:unhideWhenUsed/>
    <w:rsid w:val="0011608B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08B"/>
    <w:rPr>
      <w:rFonts w:ascii="Tahoma" w:eastAsia="Batang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08B"/>
    <w:pPr>
      <w:spacing w:line="240" w:lineRule="auto"/>
    </w:pPr>
    <w:rPr>
      <w:rFonts w:ascii="Tahoma" w:eastAsia="Batang" w:hAnsi="Tahoma" w:cs="Tahoma"/>
      <w:sz w:val="16"/>
      <w:szCs w:val="16"/>
    </w:rPr>
  </w:style>
  <w:style w:type="paragraph" w:customStyle="1" w:styleId="Equation">
    <w:name w:val="Equation"/>
    <w:basedOn w:val="Normal"/>
    <w:qFormat/>
    <w:rsid w:val="0011608B"/>
    <w:pPr>
      <w:tabs>
        <w:tab w:val="center" w:pos="4680"/>
        <w:tab w:val="right" w:pos="9360"/>
      </w:tabs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11608B"/>
    <w:pPr>
      <w:jc w:val="center"/>
    </w:pPr>
    <w:rPr>
      <w:rFonts w:ascii="Calibri" w:eastAsia="Batang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1608B"/>
    <w:rPr>
      <w:rFonts w:ascii="Calibri" w:eastAsia="Batang" w:hAnsi="Calibri" w:cs="Calibri"/>
      <w:noProof/>
      <w:szCs w:val="22"/>
    </w:rPr>
  </w:style>
  <w:style w:type="paragraph" w:customStyle="1" w:styleId="EndNoteBibliography">
    <w:name w:val="EndNote Bibliography"/>
    <w:basedOn w:val="Normal"/>
    <w:link w:val="EndNoteBibliographyChar"/>
    <w:rsid w:val="0011608B"/>
    <w:pPr>
      <w:spacing w:line="240" w:lineRule="auto"/>
    </w:pPr>
    <w:rPr>
      <w:rFonts w:ascii="Calibri" w:eastAsia="Batang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1608B"/>
    <w:rPr>
      <w:rFonts w:ascii="Calibri" w:eastAsia="Batang" w:hAnsi="Calibri" w:cs="Calibri"/>
      <w:noProof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08B"/>
    <w:rPr>
      <w:rFonts w:asciiTheme="minorHAnsi" w:eastAsia="Batang" w:hAnsiTheme="minorHAnsi" w:cstheme="min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08B"/>
    <w:pPr>
      <w:spacing w:line="240" w:lineRule="auto"/>
    </w:pPr>
    <w:rPr>
      <w:rFonts w:asciiTheme="minorHAnsi" w:eastAsia="Batang" w:hAnsiTheme="minorHAns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08B"/>
    <w:rPr>
      <w:rFonts w:asciiTheme="minorHAnsi" w:eastAsia="Batang" w:hAnsiTheme="minorHAnsi" w:cstheme="minorBid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08B"/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11608B"/>
    <w:pPr>
      <w:spacing w:line="240" w:lineRule="auto"/>
    </w:pPr>
    <w:rPr>
      <w:rFonts w:cs="Arial"/>
    </w:rPr>
  </w:style>
  <w:style w:type="paragraph" w:customStyle="1" w:styleId="msonormal0">
    <w:name w:val="msonormal"/>
    <w:basedOn w:val="Normal"/>
    <w:rsid w:val="001160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xl65">
    <w:name w:val="xl65"/>
    <w:basedOn w:val="Normal"/>
    <w:rsid w:val="001160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xl66">
    <w:name w:val="xl66"/>
    <w:basedOn w:val="Normal"/>
    <w:rsid w:val="00116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xl67">
    <w:name w:val="xl67"/>
    <w:basedOn w:val="Normal"/>
    <w:rsid w:val="0011608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</w:rPr>
  </w:style>
  <w:style w:type="paragraph" w:customStyle="1" w:styleId="xl68">
    <w:name w:val="xl68"/>
    <w:basedOn w:val="Normal"/>
    <w:rsid w:val="0011608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</w:rPr>
  </w:style>
  <w:style w:type="paragraph" w:customStyle="1" w:styleId="xl69">
    <w:name w:val="xl69"/>
    <w:basedOn w:val="Normal"/>
    <w:rsid w:val="0011608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xl70">
    <w:name w:val="xl70"/>
    <w:basedOn w:val="Normal"/>
    <w:rsid w:val="0011608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</w:rPr>
  </w:style>
  <w:style w:type="paragraph" w:customStyle="1" w:styleId="xl71">
    <w:name w:val="xl71"/>
    <w:basedOn w:val="Normal"/>
    <w:rsid w:val="0011608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</w:rPr>
  </w:style>
  <w:style w:type="paragraph" w:customStyle="1" w:styleId="xl72">
    <w:name w:val="xl72"/>
    <w:basedOn w:val="Normal"/>
    <w:rsid w:val="0011608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xl73">
    <w:name w:val="xl73"/>
    <w:basedOn w:val="Normal"/>
    <w:rsid w:val="0011608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4">
    <w:name w:val="xl74"/>
    <w:basedOn w:val="Normal"/>
    <w:rsid w:val="001160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5">
    <w:name w:val="xl75"/>
    <w:basedOn w:val="Normal"/>
    <w:rsid w:val="001160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6">
    <w:name w:val="xl76"/>
    <w:basedOn w:val="Normal"/>
    <w:rsid w:val="0011608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7">
    <w:name w:val="xl77"/>
    <w:basedOn w:val="Normal"/>
    <w:rsid w:val="001160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1160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9">
    <w:name w:val="xl79"/>
    <w:basedOn w:val="Normal"/>
    <w:rsid w:val="0011608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0">
    <w:name w:val="xl80"/>
    <w:basedOn w:val="Normal"/>
    <w:rsid w:val="0011608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1">
    <w:name w:val="xl81"/>
    <w:basedOn w:val="Normal"/>
    <w:rsid w:val="0011608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font5">
    <w:name w:val="font5"/>
    <w:basedOn w:val="Normal"/>
    <w:rsid w:val="0011608B"/>
    <w:pP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11608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64">
    <w:name w:val="xl64"/>
    <w:basedOn w:val="Normal"/>
    <w:rsid w:val="001160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2">
    <w:name w:val="xl82"/>
    <w:basedOn w:val="Normal"/>
    <w:rsid w:val="0011608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3">
    <w:name w:val="xl83"/>
    <w:basedOn w:val="Normal"/>
    <w:rsid w:val="0011608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4">
    <w:name w:val="xl84"/>
    <w:basedOn w:val="Normal"/>
    <w:rsid w:val="0011608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5">
    <w:name w:val="xl85"/>
    <w:basedOn w:val="Normal"/>
    <w:rsid w:val="0011608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6">
    <w:name w:val="xl86"/>
    <w:basedOn w:val="Normal"/>
    <w:rsid w:val="0011608B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7">
    <w:name w:val="xl87"/>
    <w:basedOn w:val="Normal"/>
    <w:rsid w:val="0011608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8">
    <w:name w:val="xl88"/>
    <w:basedOn w:val="Normal"/>
    <w:rsid w:val="0011608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9">
    <w:name w:val="xl89"/>
    <w:basedOn w:val="Normal"/>
    <w:rsid w:val="0011608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90">
    <w:name w:val="xl90"/>
    <w:basedOn w:val="Normal"/>
    <w:rsid w:val="001160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3ebd6d-8096-4996-833b-e1d6383f00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3E963D58EE048A173609C99C2C34B" ma:contentTypeVersion="16" ma:contentTypeDescription="Create a new document." ma:contentTypeScope="" ma:versionID="cf3974cd1a909badf2020c8b2b31bf2b">
  <xsd:schema xmlns:xsd="http://www.w3.org/2001/XMLSchema" xmlns:xs="http://www.w3.org/2001/XMLSchema" xmlns:p="http://schemas.microsoft.com/office/2006/metadata/properties" xmlns:ns3="133ebd6d-8096-4996-833b-e1d6383f00e0" xmlns:ns4="c6f08c7f-443a-4f06-a842-4568deba60f1" targetNamespace="http://schemas.microsoft.com/office/2006/metadata/properties" ma:root="true" ma:fieldsID="f13d4a024a0711e6ae58570ff74eeb1c" ns3:_="" ns4:_="">
    <xsd:import namespace="133ebd6d-8096-4996-833b-e1d6383f00e0"/>
    <xsd:import namespace="c6f08c7f-443a-4f06-a842-4568deba60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bd6d-8096-4996-833b-e1d6383f0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8c7f-443a-4f06-a842-4568deba6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D4B40-895C-4AE1-9673-3D927161E8E4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c6f08c7f-443a-4f06-a842-4568deba60f1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33ebd6d-8096-4996-833b-e1d6383f00e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3059CB-783A-46B4-BC47-05773253F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0D3C5-80D1-4A80-A573-8AA642DAB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ebd6d-8096-4996-833b-e1d6383f00e0"/>
    <ds:schemaRef ds:uri="c6f08c7f-443a-4f06-a842-4568deba6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Chamness, Laura</dc:creator>
  <cp:keywords/>
  <dc:description/>
  <cp:lastModifiedBy>Jonathan Patrick Schlebach</cp:lastModifiedBy>
  <cp:revision>4</cp:revision>
  <dcterms:created xsi:type="dcterms:W3CDTF">2024-06-19T15:22:00Z</dcterms:created>
  <dcterms:modified xsi:type="dcterms:W3CDTF">2024-06-19T15:27:00Z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0x010100D253E963D58EE048A173609C99C2C34B</vt:lpwstr>
  </property>
</Properties>
</file>