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433CF" w14:textId="14CFCEAA" w:rsidR="003D470E" w:rsidRPr="003D470E" w:rsidRDefault="003D470E" w:rsidP="003D470E">
      <w:pPr>
        <w:suppressLineNumbers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3D470E">
        <w:rPr>
          <w:rFonts w:ascii="Times New Roman" w:hAnsi="Times New Roman" w:cs="Times New Roman"/>
          <w:b/>
          <w:bCs/>
          <w:sz w:val="24"/>
          <w:szCs w:val="24"/>
        </w:rPr>
        <w:t>Suppleme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nt</w:t>
      </w:r>
      <w:r w:rsidRPr="003D470E">
        <w:rPr>
          <w:rFonts w:ascii="Times New Roman" w:hAnsi="Times New Roman" w:cs="Times New Roman"/>
          <w:b/>
          <w:bCs/>
          <w:sz w:val="24"/>
          <w:szCs w:val="24"/>
        </w:rPr>
        <w:t xml:space="preserve">ary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File</w:t>
      </w:r>
      <w:r w:rsidRPr="003D470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3D470E">
        <w:rPr>
          <w:rFonts w:ascii="Times New Roman" w:hAnsi="Times New Roman" w:cs="Times New Roman"/>
          <w:b/>
          <w:bCs/>
          <w:sz w:val="24"/>
          <w:szCs w:val="24"/>
        </w:rPr>
        <w:t xml:space="preserve"> Demographic and clinical characteristics of non-COVID-19 patients</w:t>
      </w:r>
    </w:p>
    <w:tbl>
      <w:tblPr>
        <w:tblStyle w:val="2-1"/>
        <w:tblW w:w="0" w:type="auto"/>
        <w:tblLook w:val="04A0" w:firstRow="1" w:lastRow="0" w:firstColumn="1" w:lastColumn="0" w:noHBand="0" w:noVBand="1"/>
      </w:tblPr>
      <w:tblGrid>
        <w:gridCol w:w="2860"/>
        <w:gridCol w:w="2950"/>
        <w:gridCol w:w="2871"/>
        <w:gridCol w:w="2774"/>
        <w:gridCol w:w="2503"/>
      </w:tblGrid>
      <w:tr w:rsidR="003D470E" w:rsidRPr="003D470E" w14:paraId="712DFD04" w14:textId="77777777" w:rsidTr="001C7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  <w:vMerge w:val="restart"/>
          </w:tcPr>
          <w:p w14:paraId="37E488F5" w14:textId="77777777" w:rsidR="003D470E" w:rsidRPr="003D470E" w:rsidRDefault="003D470E" w:rsidP="001C7C7E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 w:val="restart"/>
            <w:vAlign w:val="center"/>
          </w:tcPr>
          <w:p w14:paraId="5566E31D" w14:textId="77777777" w:rsidR="003D470E" w:rsidRPr="003D470E" w:rsidRDefault="003D470E" w:rsidP="001C7C7E">
            <w:pPr>
              <w:suppressLineNumber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All individuals</w:t>
            </w:r>
          </w:p>
          <w:p w14:paraId="6723ADA5" w14:textId="77777777" w:rsidR="003D470E" w:rsidRPr="003D470E" w:rsidRDefault="003D470E" w:rsidP="001C7C7E">
            <w:pPr>
              <w:suppressLineNumber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N = 122</w:t>
            </w:r>
          </w:p>
        </w:tc>
        <w:tc>
          <w:tcPr>
            <w:tcW w:w="8148" w:type="dxa"/>
            <w:gridSpan w:val="3"/>
          </w:tcPr>
          <w:p w14:paraId="5EC9722C" w14:textId="77777777" w:rsidR="003D470E" w:rsidRPr="003D470E" w:rsidRDefault="003D470E" w:rsidP="001C7C7E">
            <w:pPr>
              <w:suppressLineNumber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Non-COVID-19</w:t>
            </w:r>
          </w:p>
        </w:tc>
      </w:tr>
      <w:tr w:rsidR="003D470E" w:rsidRPr="003D470E" w14:paraId="6A8D74B7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  <w:vMerge/>
          </w:tcPr>
          <w:p w14:paraId="0C506609" w14:textId="77777777" w:rsidR="003D470E" w:rsidRPr="003D470E" w:rsidRDefault="003D470E" w:rsidP="001C7C7E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14:paraId="03672A2F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shd w:val="clear" w:color="auto" w:fill="FFFFFF" w:themeFill="background1"/>
          </w:tcPr>
          <w:p w14:paraId="27CA086B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Healthy</w:t>
            </w:r>
          </w:p>
          <w:p w14:paraId="0CB1C552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N = 61</w:t>
            </w:r>
          </w:p>
        </w:tc>
        <w:tc>
          <w:tcPr>
            <w:tcW w:w="2774" w:type="dxa"/>
            <w:shd w:val="clear" w:color="auto" w:fill="FFFFFF" w:themeFill="background1"/>
          </w:tcPr>
          <w:p w14:paraId="1AEB831A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  <w:p w14:paraId="58114BA5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N = 61</w:t>
            </w:r>
          </w:p>
        </w:tc>
        <w:tc>
          <w:tcPr>
            <w:tcW w:w="2503" w:type="dxa"/>
            <w:shd w:val="clear" w:color="auto" w:fill="FFFFFF" w:themeFill="background1"/>
          </w:tcPr>
          <w:p w14:paraId="2A8FD28F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3D470E" w:rsidRPr="003D470E" w14:paraId="4499290B" w14:textId="77777777" w:rsidTr="001C7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</w:tcPr>
          <w:p w14:paraId="4FC3763C" w14:textId="77777777" w:rsidR="003D470E" w:rsidRPr="003D470E" w:rsidRDefault="003D470E" w:rsidP="001C7C7E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Age—years</w:t>
            </w:r>
          </w:p>
        </w:tc>
        <w:tc>
          <w:tcPr>
            <w:tcW w:w="2950" w:type="dxa"/>
          </w:tcPr>
          <w:p w14:paraId="189BA8E7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59 (55-62)</w:t>
            </w:r>
          </w:p>
        </w:tc>
        <w:tc>
          <w:tcPr>
            <w:tcW w:w="2871" w:type="dxa"/>
          </w:tcPr>
          <w:p w14:paraId="26AB55E0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58 (55-64)</w:t>
            </w:r>
          </w:p>
        </w:tc>
        <w:tc>
          <w:tcPr>
            <w:tcW w:w="2774" w:type="dxa"/>
          </w:tcPr>
          <w:p w14:paraId="160A2F72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60 (58-62)</w:t>
            </w:r>
          </w:p>
        </w:tc>
        <w:tc>
          <w:tcPr>
            <w:tcW w:w="2503" w:type="dxa"/>
          </w:tcPr>
          <w:p w14:paraId="1FCADD51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0.141†</w:t>
            </w:r>
          </w:p>
        </w:tc>
      </w:tr>
      <w:tr w:rsidR="003D470E" w:rsidRPr="003D470E" w14:paraId="179C4899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</w:tcPr>
          <w:p w14:paraId="42C862D0" w14:textId="77777777" w:rsidR="003D470E" w:rsidRPr="003D470E" w:rsidRDefault="003D470E" w:rsidP="001C7C7E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Male—n (%)</w:t>
            </w:r>
          </w:p>
        </w:tc>
        <w:tc>
          <w:tcPr>
            <w:tcW w:w="2950" w:type="dxa"/>
          </w:tcPr>
          <w:p w14:paraId="1C839AE9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58 (47.5%)</w:t>
            </w:r>
          </w:p>
        </w:tc>
        <w:tc>
          <w:tcPr>
            <w:tcW w:w="2871" w:type="dxa"/>
          </w:tcPr>
          <w:p w14:paraId="7FDA8BD9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27 (44.3%)</w:t>
            </w:r>
          </w:p>
        </w:tc>
        <w:tc>
          <w:tcPr>
            <w:tcW w:w="2774" w:type="dxa"/>
          </w:tcPr>
          <w:p w14:paraId="7E33EE4D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31 (50.8%)</w:t>
            </w:r>
          </w:p>
        </w:tc>
        <w:tc>
          <w:tcPr>
            <w:tcW w:w="2503" w:type="dxa"/>
          </w:tcPr>
          <w:p w14:paraId="294A0486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0.468#</w:t>
            </w:r>
          </w:p>
        </w:tc>
      </w:tr>
      <w:tr w:rsidR="003D470E" w:rsidRPr="003D470E" w14:paraId="5B34E1A9" w14:textId="77777777" w:rsidTr="001C7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</w:tcPr>
          <w:p w14:paraId="6199C6BC" w14:textId="77777777" w:rsidR="003D470E" w:rsidRPr="003D470E" w:rsidRDefault="003D470E" w:rsidP="001C7C7E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2950" w:type="dxa"/>
          </w:tcPr>
          <w:p w14:paraId="6369FA21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25.01 (22.37-27.34)</w:t>
            </w:r>
          </w:p>
        </w:tc>
        <w:tc>
          <w:tcPr>
            <w:tcW w:w="2871" w:type="dxa"/>
          </w:tcPr>
          <w:p w14:paraId="73ADAA0A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24.8 (22.2-26.7)</w:t>
            </w:r>
          </w:p>
        </w:tc>
        <w:tc>
          <w:tcPr>
            <w:tcW w:w="2774" w:type="dxa"/>
          </w:tcPr>
          <w:p w14:paraId="68612A9B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25.4 (22.8-27.5)</w:t>
            </w:r>
          </w:p>
        </w:tc>
        <w:tc>
          <w:tcPr>
            <w:tcW w:w="2503" w:type="dxa"/>
          </w:tcPr>
          <w:p w14:paraId="72AC6894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0.347†</w:t>
            </w:r>
          </w:p>
        </w:tc>
      </w:tr>
      <w:tr w:rsidR="003D470E" w:rsidRPr="003D470E" w14:paraId="3AB9239B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</w:tcPr>
          <w:p w14:paraId="16C1FFD1" w14:textId="77777777" w:rsidR="003D470E" w:rsidRPr="003D470E" w:rsidRDefault="003D470E" w:rsidP="001C7C7E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HbA1c—%</w:t>
            </w:r>
          </w:p>
        </w:tc>
        <w:tc>
          <w:tcPr>
            <w:tcW w:w="2950" w:type="dxa"/>
          </w:tcPr>
          <w:p w14:paraId="2B7FAC39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5.85 (5.30-7.13)</w:t>
            </w:r>
          </w:p>
        </w:tc>
        <w:tc>
          <w:tcPr>
            <w:tcW w:w="2871" w:type="dxa"/>
          </w:tcPr>
          <w:p w14:paraId="5BFEE27E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5.4 (5.2-5.8)</w:t>
            </w:r>
          </w:p>
        </w:tc>
        <w:tc>
          <w:tcPr>
            <w:tcW w:w="2774" w:type="dxa"/>
          </w:tcPr>
          <w:p w14:paraId="5C43E92B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7.0 (6.2-8.2)</w:t>
            </w:r>
          </w:p>
        </w:tc>
        <w:tc>
          <w:tcPr>
            <w:tcW w:w="2503" w:type="dxa"/>
          </w:tcPr>
          <w:p w14:paraId="3454F7F4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†</w:t>
            </w:r>
          </w:p>
        </w:tc>
      </w:tr>
      <w:tr w:rsidR="003D470E" w:rsidRPr="003D470E" w14:paraId="4E419D23" w14:textId="77777777" w:rsidTr="001C7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</w:tcPr>
          <w:p w14:paraId="6B97D496" w14:textId="77777777" w:rsidR="003D470E" w:rsidRPr="003D470E" w:rsidRDefault="003D470E" w:rsidP="001C7C7E">
            <w:pPr>
              <w:suppressLineNumbers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CTSL conc. —pg/mL</w:t>
            </w:r>
          </w:p>
        </w:tc>
        <w:tc>
          <w:tcPr>
            <w:tcW w:w="2950" w:type="dxa"/>
          </w:tcPr>
          <w:p w14:paraId="3AC3722F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1637.0 (1337.8-2120.9)</w:t>
            </w:r>
          </w:p>
        </w:tc>
        <w:tc>
          <w:tcPr>
            <w:tcW w:w="2871" w:type="dxa"/>
          </w:tcPr>
          <w:p w14:paraId="770039EE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1535.4 (1251.3-1838.7)</w:t>
            </w:r>
          </w:p>
        </w:tc>
        <w:tc>
          <w:tcPr>
            <w:tcW w:w="2774" w:type="dxa"/>
          </w:tcPr>
          <w:p w14:paraId="5EBB5CE4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1715.7 (1408.0-2261.4)</w:t>
            </w:r>
          </w:p>
        </w:tc>
        <w:tc>
          <w:tcPr>
            <w:tcW w:w="2503" w:type="dxa"/>
          </w:tcPr>
          <w:p w14:paraId="54E7735D" w14:textId="77777777" w:rsidR="003D470E" w:rsidRPr="003D470E" w:rsidRDefault="003D470E" w:rsidP="001C7C7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0.009</w:t>
            </w: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†</w:t>
            </w:r>
          </w:p>
        </w:tc>
      </w:tr>
      <w:tr w:rsidR="003D470E" w:rsidRPr="003D470E" w14:paraId="036B4169" w14:textId="77777777" w:rsidTr="001C7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</w:tcPr>
          <w:p w14:paraId="46362633" w14:textId="77777777" w:rsidR="003D470E" w:rsidRPr="003D470E" w:rsidRDefault="003D470E" w:rsidP="001C7C7E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CTSL activity—RLU</w:t>
            </w:r>
          </w:p>
        </w:tc>
        <w:tc>
          <w:tcPr>
            <w:tcW w:w="2950" w:type="dxa"/>
          </w:tcPr>
          <w:p w14:paraId="26644E3E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1708.0 (477.2-3058.7)</w:t>
            </w:r>
          </w:p>
        </w:tc>
        <w:tc>
          <w:tcPr>
            <w:tcW w:w="2871" w:type="dxa"/>
          </w:tcPr>
          <w:p w14:paraId="711A6096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477.2 (429.8-601.8)</w:t>
            </w:r>
          </w:p>
        </w:tc>
        <w:tc>
          <w:tcPr>
            <w:tcW w:w="2774" w:type="dxa"/>
          </w:tcPr>
          <w:p w14:paraId="1BF83FF3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3050.0 (2534.0-3713.0)</w:t>
            </w:r>
          </w:p>
        </w:tc>
        <w:tc>
          <w:tcPr>
            <w:tcW w:w="2503" w:type="dxa"/>
          </w:tcPr>
          <w:p w14:paraId="1DB9FEA8" w14:textId="77777777" w:rsidR="003D470E" w:rsidRPr="003D470E" w:rsidRDefault="003D470E" w:rsidP="001C7C7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  <w:r w:rsidRPr="003D470E">
              <w:rPr>
                <w:rFonts w:ascii="Times New Roman" w:hAnsi="Times New Roman" w:cs="Times New Roman"/>
                <w:sz w:val="24"/>
                <w:szCs w:val="24"/>
              </w:rPr>
              <w:t>†</w:t>
            </w:r>
          </w:p>
        </w:tc>
      </w:tr>
    </w:tbl>
    <w:p w14:paraId="0A2041B2" w14:textId="77777777" w:rsidR="003D470E" w:rsidRPr="003D470E" w:rsidRDefault="003D470E" w:rsidP="003D470E">
      <w:pPr>
        <w:suppressLineNumbers/>
        <w:rPr>
          <w:rFonts w:ascii="Times New Roman" w:hAnsi="Times New Roman" w:cs="Times New Roman"/>
          <w:sz w:val="24"/>
          <w:szCs w:val="24"/>
        </w:rPr>
      </w:pPr>
      <w:r w:rsidRPr="003D470E">
        <w:rPr>
          <w:rFonts w:ascii="Times New Roman" w:hAnsi="Times New Roman" w:cs="Times New Roman"/>
          <w:sz w:val="24"/>
          <w:szCs w:val="24"/>
        </w:rPr>
        <w:t xml:space="preserve">Data are median (IQR) or n (%). </w:t>
      </w:r>
      <w:r w:rsidRPr="003D470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D470E">
        <w:rPr>
          <w:rFonts w:ascii="Times New Roman" w:hAnsi="Times New Roman" w:cs="Times New Roman"/>
          <w:sz w:val="24"/>
          <w:szCs w:val="24"/>
        </w:rPr>
        <w:t xml:space="preserve"> values were calculated by Mann-Whitney </w:t>
      </w:r>
      <w:r w:rsidRPr="003D470E">
        <w:rPr>
          <w:rFonts w:ascii="Times New Roman" w:hAnsi="Times New Roman" w:cs="Times New Roman"/>
          <w:i/>
          <w:iCs/>
          <w:sz w:val="24"/>
          <w:szCs w:val="24"/>
        </w:rPr>
        <w:t>U-</w:t>
      </w:r>
      <w:r w:rsidRPr="003D470E">
        <w:rPr>
          <w:rFonts w:ascii="Times New Roman" w:hAnsi="Times New Roman" w:cs="Times New Roman"/>
          <w:sz w:val="24"/>
          <w:szCs w:val="24"/>
        </w:rPr>
        <w:t>test (†) or χ² test (#), as appropriate for group comparison analyses.</w:t>
      </w:r>
    </w:p>
    <w:p w14:paraId="128504EF" w14:textId="77777777" w:rsidR="003D470E" w:rsidRPr="003D470E" w:rsidRDefault="003D470E" w:rsidP="003D470E">
      <w:pPr>
        <w:widowControl/>
        <w:jc w:val="left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3D470E">
        <w:rPr>
          <w:rFonts w:ascii="Times New Roman" w:hAnsi="Times New Roman" w:cs="Times New Roman"/>
          <w:b/>
          <w:bCs/>
          <w:color w:val="212121"/>
          <w:sz w:val="24"/>
          <w:szCs w:val="24"/>
        </w:rPr>
        <w:br w:type="page"/>
      </w:r>
    </w:p>
    <w:p w14:paraId="3F81D595" w14:textId="77777777" w:rsidR="00E97596" w:rsidRPr="003D470E" w:rsidRDefault="00E97596">
      <w:pPr>
        <w:rPr>
          <w:rFonts w:ascii="Times New Roman" w:hAnsi="Times New Roman" w:cs="Times New Roman"/>
          <w:sz w:val="24"/>
          <w:szCs w:val="24"/>
        </w:rPr>
      </w:pPr>
    </w:p>
    <w:sectPr w:rsidR="00E97596" w:rsidRPr="003D470E" w:rsidSect="003D470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0E"/>
    <w:rsid w:val="003D470E"/>
    <w:rsid w:val="004C292C"/>
    <w:rsid w:val="00A05A25"/>
    <w:rsid w:val="00E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7BD5"/>
  <w15:chartTrackingRefBased/>
  <w15:docId w15:val="{6C2E7472-AA72-4AA8-ADD0-1BFF8BD0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0E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List Table 2 Accent 1"/>
    <w:basedOn w:val="a1"/>
    <w:uiPriority w:val="47"/>
    <w:rsid w:val="003D470E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qiong he</dc:creator>
  <cp:keywords/>
  <dc:description/>
  <cp:lastModifiedBy>qiong he</cp:lastModifiedBy>
  <cp:revision>1</cp:revision>
  <dcterms:created xsi:type="dcterms:W3CDTF">2024-06-05T13:00:00Z</dcterms:created>
  <dcterms:modified xsi:type="dcterms:W3CDTF">2024-06-05T13:02:00Z</dcterms:modified>
</cp:coreProperties>
</file>