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65E2D" w14:textId="77777777" w:rsidR="009301C3" w:rsidRDefault="009301C3" w:rsidP="009301C3"/>
    <w:p w14:paraId="1A07A204" w14:textId="77777777" w:rsidR="009301C3" w:rsidRPr="00F05D79" w:rsidRDefault="009301C3" w:rsidP="009301C3">
      <w:pPr>
        <w:rPr>
          <w:b/>
          <w:bCs/>
          <w:sz w:val="24"/>
          <w:szCs w:val="24"/>
        </w:rPr>
      </w:pPr>
      <w:r w:rsidRPr="00F05D79">
        <w:rPr>
          <w:sz w:val="24"/>
          <w:szCs w:val="24"/>
        </w:rPr>
        <w:t>Supplementary Table 1. NCC development related genes.</w:t>
      </w:r>
    </w:p>
    <w:tbl>
      <w:tblPr>
        <w:tblStyle w:val="TableGrid"/>
        <w:tblW w:w="10975" w:type="dxa"/>
        <w:tblInd w:w="-725" w:type="dxa"/>
        <w:tblLook w:val="0420" w:firstRow="1" w:lastRow="0" w:firstColumn="0" w:lastColumn="0" w:noHBand="0" w:noVBand="1"/>
      </w:tblPr>
      <w:tblGrid>
        <w:gridCol w:w="2250"/>
        <w:gridCol w:w="5271"/>
        <w:gridCol w:w="3454"/>
      </w:tblGrid>
      <w:tr w:rsidR="009301C3" w:rsidRPr="005613C7" w14:paraId="1FEF9125" w14:textId="77777777" w:rsidTr="002C4FD3">
        <w:trPr>
          <w:trHeight w:val="331"/>
        </w:trPr>
        <w:tc>
          <w:tcPr>
            <w:tcW w:w="2250" w:type="dxa"/>
            <w:hideMark/>
          </w:tcPr>
          <w:p w14:paraId="31DF39BD" w14:textId="77777777" w:rsidR="009301C3" w:rsidRPr="009C0388" w:rsidRDefault="009301C3" w:rsidP="00151941">
            <w:pPr>
              <w:rPr>
                <w:rFonts w:cstheme="minorHAnsi"/>
              </w:rPr>
            </w:pPr>
            <w:r w:rsidRPr="009C0388">
              <w:rPr>
                <w:rFonts w:cstheme="minorHAnsi"/>
                <w:b/>
                <w:bCs/>
              </w:rPr>
              <w:t>Gene</w:t>
            </w:r>
          </w:p>
        </w:tc>
        <w:tc>
          <w:tcPr>
            <w:tcW w:w="5271" w:type="dxa"/>
            <w:hideMark/>
          </w:tcPr>
          <w:p w14:paraId="5BB6C9AC" w14:textId="77777777" w:rsidR="009301C3" w:rsidRPr="009C0388" w:rsidRDefault="009301C3" w:rsidP="00151941">
            <w:pPr>
              <w:rPr>
                <w:rFonts w:cstheme="minorHAnsi"/>
              </w:rPr>
            </w:pPr>
            <w:r w:rsidRPr="009C0388">
              <w:rPr>
                <w:rFonts w:cstheme="minorHAnsi"/>
                <w:b/>
                <w:bCs/>
              </w:rPr>
              <w:t xml:space="preserve">Expression pattern in relation to NCC development </w:t>
            </w:r>
          </w:p>
        </w:tc>
        <w:tc>
          <w:tcPr>
            <w:tcW w:w="3454" w:type="dxa"/>
            <w:hideMark/>
          </w:tcPr>
          <w:p w14:paraId="0E63A64D" w14:textId="77777777" w:rsidR="009301C3" w:rsidRPr="009C0388" w:rsidRDefault="009301C3" w:rsidP="00151941">
            <w:pPr>
              <w:rPr>
                <w:rFonts w:cstheme="minorHAnsi"/>
              </w:rPr>
            </w:pPr>
            <w:r w:rsidRPr="009C0388">
              <w:rPr>
                <w:rFonts w:cstheme="minorHAnsi"/>
                <w:b/>
                <w:bCs/>
              </w:rPr>
              <w:t>References</w:t>
            </w:r>
          </w:p>
        </w:tc>
      </w:tr>
      <w:tr w:rsidR="009301C3" w:rsidRPr="005613C7" w14:paraId="7BA05CA0" w14:textId="77777777" w:rsidTr="002C4FD3">
        <w:trPr>
          <w:trHeight w:val="791"/>
        </w:trPr>
        <w:tc>
          <w:tcPr>
            <w:tcW w:w="2250" w:type="dxa"/>
            <w:shd w:val="clear" w:color="auto" w:fill="FFB74D"/>
            <w:hideMark/>
          </w:tcPr>
          <w:p w14:paraId="44A0029F" w14:textId="77777777" w:rsidR="009301C3" w:rsidRPr="008365C8" w:rsidRDefault="009301C3" w:rsidP="00151941">
            <w:pPr>
              <w:rPr>
                <w:rFonts w:cstheme="minorHAnsi"/>
                <w:b/>
                <w:bCs/>
                <w:i/>
                <w:iCs/>
              </w:rPr>
            </w:pPr>
            <w:r w:rsidRPr="008365C8">
              <w:rPr>
                <w:rFonts w:cstheme="minorHAnsi"/>
                <w:b/>
                <w:bCs/>
                <w:i/>
                <w:iCs/>
              </w:rPr>
              <w:t>Sox2</w:t>
            </w:r>
          </w:p>
        </w:tc>
        <w:tc>
          <w:tcPr>
            <w:tcW w:w="5271" w:type="dxa"/>
            <w:shd w:val="clear" w:color="auto" w:fill="FFB74D"/>
            <w:hideMark/>
          </w:tcPr>
          <w:p w14:paraId="499160DB" w14:textId="77777777" w:rsidR="009301C3" w:rsidRPr="009C0388" w:rsidRDefault="009301C3" w:rsidP="00151941">
            <w:pPr>
              <w:rPr>
                <w:rFonts w:cstheme="minorHAnsi"/>
              </w:rPr>
            </w:pPr>
            <w:r w:rsidRPr="009C0388">
              <w:rPr>
                <w:rFonts w:cstheme="minorHAnsi"/>
              </w:rPr>
              <w:t>Neural epithelium (reduced in neural plate border) </w:t>
            </w:r>
          </w:p>
        </w:tc>
        <w:tc>
          <w:tcPr>
            <w:tcW w:w="3454" w:type="dxa"/>
            <w:shd w:val="clear" w:color="auto" w:fill="FFB74D"/>
            <w:hideMark/>
          </w:tcPr>
          <w:p w14:paraId="693D9C41"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{"citationID":"f5ny6dBY","properties":{"formattedCitation":"(Hafemeister &amp; Satija, 2019; Lee et al., 2013; Wood &amp; Episkopou, 1999)","plainCitation":"(Hafemeister &amp; Satija, 2019; Lee et al., 2013; Wood &amp; Episkopou, 1999)","dontUpdate":true,"noteIndex":0},"citationItems":[{"id":580,"uris":["http://zotero.org/groups/4575477/items/9WGJGBHZ"],"itemData":{"id":580,"type":"article-journal","abstract":"Single-cell RNA-seq (scRNA-seq) data exhibits significant cell-to-cell variation due to technical factors, including the number of molecules detected in each cell, which can confound biological heterogeneity with technical effects. To address this, we present a modeling framework for the normalization and variance stabilization of molecular count data from scRNA-seq experiments. We propose that the Pearson residuals from “regularized negative binomial regression,” where cellular sequencing depth is utilized as a covariate in a generalized linear model, successfully remove the influence of technical characteristics from downstream analyses while preserving biological heterogeneity. Importantly, we show that an unconstrained negative binomial model may overfit scRNA-seq data, and overcome this by pooling information across genes with similar abundances to obtain stable parameter estimates. Our procedure omits the need for heuristic steps including pseudocount addition or log-transformation and improves common downstream analytical tasks such as variable gene selection, dimensional reduction, and differential expression. Our approach can be applied to any UMI-based scRNA-seq dataset and is freely available as part of the R package sctransform, with a direct interface to our single-cell toolkit Seurat.","container-title":"Genome Biology","DOI":"10.1186/s13059-019-1874-1","ISSN":"1474-760X","issue":"1","journalAbbreviation":"Genome Biology","page":"296","source":"BioMed Central","title":"Normalization and variance stabilization of single-cell RNA-seq data using regularized negative binomial regression","volume":"20","author":[{"family":"Hafemeister","given":"Christoph"},{"family":"Satija","given":"Rahul"}],"issued":{"date-parts":[["2019",12,23]]}}},{"id":774,"uris":["http://zotero.org/groups/4575477/items/KSMVRLMJ"],"itemData":{"id":774,"type":"article-journal","abstract":"The neural crest is a transient structure unique to vertebrate embryos that gives rise to multiple lineages along the rostrocaudal axis. In cranial regions, neural crest cells are thought to differentiate into chondrocytes, osteocytes, pericytes and stromal cells, which are collectively termed ectomesenchyme derivatives, as well as pigment and neuronal derivatives. There is still no consensus as to whether the neural crest can be classified as a homogenous multipotent population of cells. This unresolved controversy has important implications for the formation of ectomesenchyme and for confirmation of whether the neural fold is compartmentalized into distinct domains, each with a different repertoire of derivatives. Here we report in mouse and chicken that cells in the neural fold delaminate over an extended period from different regions of the cranial neural fold to give rise to cells with distinct fates. Importantly, cells that give rise to ectomesenchyme undergo epithelial-mesenchymal transition from a lateral neural fold domain that does not express definitive neural markers, such as Sox1 and N-cadherin. Additionally, the inference that cells originating from the cranial neural ectoderm have a common origin and cell fate with trunk neural crest cells prompted us to revisit the issue of what defines the neural crest and the origin of the ectomesenchyme.","container-title":"Development (Cambridge, England)","DOI":"10.1242/dev.094680","ISSN":"1477-9129","issue":"24","journalAbbreviation":"Development","language":"eng","note":"PMID: 24198279\nPMCID: PMC4074292","page":"4890-4902","source":"PubMed","title":"Cell delamination in the mesencephalic neural fold and its implication for the origin of ectomesenchyme","volume":"140","author":[{"family":"Lee","given":"Raymond Teck Ho"},{"family":"Nagai","given":"Hiroki"},{"family":"Nakaya","given":"Yukiko"},{"family":"Sheng","given":"Guojun"},{"family":"Trainor","given":"Paul A."},{"family":"Weston","given":"James A."},{"family":"Thiery","given":"Jean Paul"}],"issued":{"date-parts":[["2013",12]]}}},{"id":767,"uris":["http://zotero.org/groups/4575477/items/PVQCZX86"],"itemData":{"id":767,"type":"article-journal","abstract":"Whole mount in situ hybridisation was used to study the embryonic expression of the mouse HMG box-containing genes Sox1, Sox2 and Sox3 between 6.5 and 9.0 days post coitum (dpc). Sox2 and Sox3 are expressed in the epiblast and extraembryonic ectoderm of the egg cylinder, becoming restricted to the prospective neural plate and chorion at the onset of gastrulation. Sox3 is upregulated in the posterior ectoderm during late streak and neural plate stages and is concomitantly downregulated in the chorion. Sox1 transcripts are first detected in the neural fold ectoderm at the headfold stage. During early somitogenesis, all three genes are expressed in the neuroectoderm, and Sox2 and Sox3 are also expressed in the primitive streak ectoderm, gut endoderm and prospective sensory placodes.","container-title":"Mechanisms of Development","DOI":"10.1016/s0925-4773(99)00116-1","ISSN":"0925-4773","issue":"1-2","journalAbbreviation":"Mech Dev","language":"eng","note":"PMID: 10446282","page":"197-201","source":"PubMed","title":"Comparative expression of the mouse Sox1, Sox2 and Sox3 genes from pre-gastrulation to early somite stages","volume":"86","author":[{"family":"Wood","given":"H. B."},{"family":"Episkopou","given":"V."}],"issued":{"date-parts":[["1999",8]]}}}],"schema":"https://github.com/citation-style-language/schema/raw/master/csl-citation.json"} </w:instrText>
            </w:r>
            <w:r w:rsidRPr="009C0388">
              <w:rPr>
                <w:rFonts w:cstheme="minorHAnsi"/>
              </w:rPr>
              <w:fldChar w:fldCharType="separate"/>
            </w:r>
            <w:r w:rsidRPr="009C0388">
              <w:rPr>
                <w:rFonts w:ascii="Calibri" w:hAnsi="Calibri" w:cs="Calibri"/>
              </w:rPr>
              <w:t>Hafemeister &amp; Satija, 2019; Lee et al., 2013; Wood &amp; Episkopou, 1999</w:t>
            </w:r>
            <w:r w:rsidRPr="009C0388">
              <w:rPr>
                <w:rFonts w:cstheme="minorHAnsi"/>
              </w:rPr>
              <w:fldChar w:fldCharType="end"/>
            </w:r>
          </w:p>
        </w:tc>
      </w:tr>
      <w:tr w:rsidR="009301C3" w:rsidRPr="005613C7" w14:paraId="21768C2B" w14:textId="77777777" w:rsidTr="002C4FD3">
        <w:trPr>
          <w:trHeight w:val="376"/>
        </w:trPr>
        <w:tc>
          <w:tcPr>
            <w:tcW w:w="2250" w:type="dxa"/>
            <w:shd w:val="clear" w:color="auto" w:fill="FFB74D"/>
            <w:hideMark/>
          </w:tcPr>
          <w:p w14:paraId="520E5F5C" w14:textId="77777777" w:rsidR="009301C3" w:rsidRPr="008365C8" w:rsidRDefault="009301C3" w:rsidP="00151941">
            <w:pPr>
              <w:rPr>
                <w:rFonts w:cstheme="minorHAnsi"/>
                <w:b/>
                <w:bCs/>
                <w:i/>
                <w:iCs/>
              </w:rPr>
            </w:pPr>
            <w:r w:rsidRPr="008365C8">
              <w:rPr>
                <w:rFonts w:cstheme="minorHAnsi"/>
                <w:b/>
                <w:bCs/>
                <w:i/>
                <w:iCs/>
              </w:rPr>
              <w:t>Sox1</w:t>
            </w:r>
          </w:p>
        </w:tc>
        <w:tc>
          <w:tcPr>
            <w:tcW w:w="5271" w:type="dxa"/>
            <w:shd w:val="clear" w:color="auto" w:fill="FFB74D"/>
            <w:hideMark/>
          </w:tcPr>
          <w:p w14:paraId="0C6D225E" w14:textId="77777777" w:rsidR="009301C3" w:rsidRPr="009C0388" w:rsidRDefault="009301C3" w:rsidP="00151941">
            <w:pPr>
              <w:rPr>
                <w:rFonts w:cstheme="minorHAnsi"/>
              </w:rPr>
            </w:pPr>
            <w:r w:rsidRPr="009C0388">
              <w:rPr>
                <w:rFonts w:cstheme="minorHAnsi"/>
              </w:rPr>
              <w:t>Neural epithelium (reduced in neural plate border) </w:t>
            </w:r>
          </w:p>
        </w:tc>
        <w:tc>
          <w:tcPr>
            <w:tcW w:w="3454" w:type="dxa"/>
            <w:shd w:val="clear" w:color="auto" w:fill="FFB74D"/>
            <w:hideMark/>
          </w:tcPr>
          <w:p w14:paraId="51CC30BC"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{"citationID":"ddNOJA7e","properties":{"formattedCitation":"(Hafemeister &amp; Satija, 2019; Lee et al., 2013; Wood &amp; Episkopou, 1999)","plainCitation":"(Hafemeister &amp; Satija, 2019; Lee et al., 2013; Wood &amp; Episkopou, 1999)","dontUpdate":true,"noteIndex":0},"citationItems":[{"id":580,"uris":["http://zotero.org/groups/4575477/items/9WGJGBHZ"],"itemData":{"id":580,"type":"article-journal","abstract":"Single-cell RNA-seq (scRNA-seq) data exhibits significant cell-to-cell variation due to technical factors, including the number of molecules detected in each cell, which can confound biological heterogeneity with technical effects. To address this, we present a modeling framework for the normalization and variance stabilization of molecular count data from scRNA-seq experiments. We propose that the Pearson residuals from “regularized negative binomial regression,” where cellular sequencing depth is utilized as a covariate in a generalized linear model, successfully remove the influence of technical characteristics from downstream analyses while preserving biological heterogeneity. Importantly, we show that an unconstrained negative binomial model may overfit scRNA-seq data, and overcome this by pooling information across genes with similar abundances to obtain stable parameter estimates. Our procedure omits the need for heuristic steps including pseudocount addition or log-transformation and improves common downstream analytical tasks such as variable gene selection, dimensional reduction, and differential expression. Our approach can be applied to any UMI-based scRNA-seq dataset and is freely available as part of the R package sctransform, with a direct interface to our single-cell toolkit Seurat.","container-title":"Genome Biology","DOI":"10.1186/s13059-019-1874-1","ISSN":"1474-760X","issue":"1","journalAbbreviation":"Genome Biology","page":"296","source":"BioMed Central","title":"Normalization and variance stabilization of single-cell RNA-seq data using regularized negative binomial regression","volume":"20","author":[{"family":"Hafemeister","given":"Christoph"},{"family":"Satija","given":"Rahul"}],"issued":{"date-parts":[["2019",12,23]]}}},{"id":774,"uris":["http://zotero.org/groups/4575477/items/KSMVRLMJ"],"itemData":{"id":774,"type":"article-journal","abstract":"The neural crest is a transient structure unique to vertebrate embryos that gives rise to multiple lineages along the rostrocaudal axis. In cranial regions, neural crest cells are thought to differentiate into chondrocytes, osteocytes, pericytes and stromal cells, which are collectively termed ectomesenchyme derivatives, as well as pigment and neuronal derivatives. There is still no consensus as to whether the neural crest can be classified as a homogenous multipotent population of cells. This unresolved controversy has important implications for the formation of ectomesenchyme and for confirmation of whether the neural fold is compartmentalized into distinct domains, each with a different repertoire of derivatives. Here we report in mouse and chicken that cells in the neural fold delaminate over an extended period from different regions of the cranial neural fold to give rise to cells with distinct fates. Importantly, cells that give rise to ectomesenchyme undergo epithelial-mesenchymal transition from a lateral neural fold domain that does not express definitive neural markers, such as Sox1 and N-cadherin. Additionally, the inference that cells originating from the cranial neural ectoderm have a common origin and cell fate with trunk neural crest cells prompted us to revisit the issue of what defines the neural crest and the origin of the ectomesenchyme.","container-title":"Development (Cambridge, England)","DOI":"10.1242/dev.094680","ISSN":"1477-9129","issue":"24","journalAbbreviation":"Development","language":"eng","note":"PMID: 24198279\nPMCID: PMC4074292","page":"4890-4902","source":"PubMed","title":"Cell delamination in the mesencephalic neural fold and its implication for the origin of ectomesenchyme","volume":"140","author":[{"family":"Lee","given":"Raymond Teck Ho"},{"family":"Nagai","given":"Hiroki"},{"family":"Nakaya","given":"Yukiko"},{"family":"Sheng","given":"Guojun"},{"family":"Trainor","given":"Paul A."},{"family":"Weston","given":"James A."},{"family":"Thiery","given":"Jean Paul"}],"issued":{"date-parts":[["2013",12]]}}},{"id":767,"uris":["http://zotero.org/groups/4575477/items/PVQCZX86"],"itemData":{"id":767,"type":"article-journal","abstract":"Whole mount in situ hybridisation was used to study the embryonic expression of the mouse HMG box-containing genes Sox1, Sox2 and Sox3 between 6.5 and 9.0 days post coitum (dpc). Sox2 and Sox3 are expressed in the epiblast and extraembryonic ectoderm of the egg cylinder, becoming restricted to the prospective neural plate and chorion at the onset of gastrulation. Sox3 is upregulated in the posterior ectoderm during late streak and neural plate stages and is concomitantly downregulated in the chorion. Sox1 transcripts are first detected in the neural fold ectoderm at the headfold stage. During early somitogenesis, all three genes are expressed in the neuroectoderm, and Sox2 and Sox3 are also expressed in the primitive streak ectoderm, gut endoderm and prospective sensory placodes.","container-title":"Mechanisms of Development","DOI":"10.1016/s0925-4773(99)00116-1","ISSN":"0925-4773","issue":"1-2","journalAbbreviation":"Mech Dev","language":"eng","note":"PMID: 10446282","page":"197-201","source":"PubMed","title":"Comparative expression of the mouse Sox1, Sox2 and Sox3 genes from pre-gastrulation to early somite stages","volume":"86","author":[{"family":"Wood","given":"H. B."},{"family":"Episkopou","given":"V."}],"issued":{"date-parts":[["1999",8]]}}}],"schema":"https://github.com/citation-style-language/schema/raw/master/csl-citation.json"} </w:instrText>
            </w:r>
            <w:r w:rsidRPr="009C0388">
              <w:rPr>
                <w:rFonts w:cstheme="minorHAnsi"/>
              </w:rPr>
              <w:fldChar w:fldCharType="separate"/>
            </w:r>
            <w:r w:rsidRPr="009C0388">
              <w:rPr>
                <w:rFonts w:ascii="Calibri" w:hAnsi="Calibri" w:cs="Calibri"/>
              </w:rPr>
              <w:t>Hafemeister &amp; Satija, 2019; Lee et al., 2013; Wood &amp; Episkopou, 1999</w:t>
            </w:r>
            <w:r w:rsidRPr="009C0388">
              <w:rPr>
                <w:rFonts w:cstheme="minorHAnsi"/>
              </w:rPr>
              <w:fldChar w:fldCharType="end"/>
            </w:r>
          </w:p>
        </w:tc>
      </w:tr>
      <w:tr w:rsidR="009301C3" w:rsidRPr="005613C7" w14:paraId="562A2CC1" w14:textId="77777777" w:rsidTr="002C4FD3">
        <w:trPr>
          <w:trHeight w:val="376"/>
        </w:trPr>
        <w:tc>
          <w:tcPr>
            <w:tcW w:w="2250" w:type="dxa"/>
            <w:shd w:val="clear" w:color="auto" w:fill="FFB74D"/>
            <w:hideMark/>
          </w:tcPr>
          <w:p w14:paraId="5BEC085D" w14:textId="77777777" w:rsidR="009301C3" w:rsidRPr="008365C8" w:rsidRDefault="009301C3" w:rsidP="00151941">
            <w:pPr>
              <w:rPr>
                <w:rFonts w:cstheme="minorHAnsi"/>
                <w:b/>
                <w:bCs/>
                <w:i/>
                <w:iCs/>
              </w:rPr>
            </w:pPr>
            <w:r w:rsidRPr="008365C8">
              <w:rPr>
                <w:rFonts w:cstheme="minorHAnsi"/>
                <w:b/>
                <w:bCs/>
                <w:i/>
                <w:iCs/>
              </w:rPr>
              <w:t>Zic1/2</w:t>
            </w:r>
          </w:p>
        </w:tc>
        <w:tc>
          <w:tcPr>
            <w:tcW w:w="5271" w:type="dxa"/>
            <w:shd w:val="clear" w:color="auto" w:fill="FFB74D"/>
            <w:hideMark/>
          </w:tcPr>
          <w:p w14:paraId="0909C137" w14:textId="77777777" w:rsidR="009301C3" w:rsidRPr="009C0388" w:rsidRDefault="009301C3" w:rsidP="00151941">
            <w:pPr>
              <w:rPr>
                <w:rFonts w:cstheme="minorHAnsi"/>
              </w:rPr>
            </w:pPr>
            <w:r w:rsidRPr="009C0388">
              <w:rPr>
                <w:rFonts w:cstheme="minorHAnsi"/>
              </w:rPr>
              <w:t>Neuroepithelium</w:t>
            </w:r>
          </w:p>
        </w:tc>
        <w:tc>
          <w:tcPr>
            <w:tcW w:w="3454" w:type="dxa"/>
            <w:shd w:val="clear" w:color="auto" w:fill="FFB74D"/>
            <w:hideMark/>
          </w:tcPr>
          <w:p w14:paraId="5645FDE5"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{"citationID":"z42tiB8V","properties":{"formattedCitation":"(Sauka-Spengler &amp; Bronner-Fraser, 2008)","plainCitation":"(Sauka-Spengler &amp; Bronner-Fraser, 2008)","dontUpdate":true,"noteIndex":0},"citationItems":[{"id":573,"uris":["http://zotero.org/groups/4575477/items/QZ67LVYD"],"itemData":{"id":573,"type":"article-journal","abstract":"The neural crest is a multipotent, migratory cell population that is unique to vertebrate embryos and gives rise to many derivatives, ranging from the peripheral nervous system to the craniofacial skeleton and pigment cells. A multimodule gene regulatory network mediates the complex process of neural crest formation, which involves the early induction and maintenance of the precursor pool, emigration of the neural crest progenitors from the neural tube via an epithelial to mesenchymal transition, migration of progenitor cells along distinct pathways and overt differentiation into diverse cell types. Here, we review our current understanding of these processes and discuss the molecular players that are involved in the neural crest gene regulatory network.","container-title":"Nature Reviews. Molecular Cell Biology","DOI":"10.1038/nrm2428","ISSN":"1471-0080","issue":"7","journalAbbreviation":"Nat Rev Mol Cell Biol","language":"eng","note":"PMID: 18523435","page":"557-568","source":"PubMed","title":"A gene regulatory network orchestrates neural crest formation","volume":"9","author":[{"family":"Sauka-Spengler","given":"Tatjana"},{"family":"Bronner-Fraser","given":"Marianne"}],"issued":{"date-parts":[["2008",7]]}}}],"schema":"https://github.com/citation-style-language/schema/raw/master/csl-citation.json"} </w:instrText>
            </w:r>
            <w:r w:rsidRPr="009C0388">
              <w:rPr>
                <w:rFonts w:cstheme="minorHAnsi"/>
              </w:rPr>
              <w:fldChar w:fldCharType="separate"/>
            </w:r>
            <w:r w:rsidRPr="009C0388">
              <w:rPr>
                <w:rFonts w:ascii="Calibri" w:hAnsi="Calibri" w:cs="Calibri"/>
              </w:rPr>
              <w:t>Sauka-Spengler &amp; Bronner-Fraser, 2008</w:t>
            </w:r>
            <w:r w:rsidRPr="009C0388">
              <w:rPr>
                <w:rFonts w:cstheme="minorHAnsi"/>
              </w:rPr>
              <w:fldChar w:fldCharType="end"/>
            </w:r>
          </w:p>
        </w:tc>
      </w:tr>
      <w:tr w:rsidR="009301C3" w:rsidRPr="005613C7" w14:paraId="37138100" w14:textId="77777777" w:rsidTr="002C4FD3">
        <w:trPr>
          <w:trHeight w:val="376"/>
        </w:trPr>
        <w:tc>
          <w:tcPr>
            <w:tcW w:w="2250" w:type="dxa"/>
            <w:shd w:val="clear" w:color="auto" w:fill="FFB74D"/>
            <w:hideMark/>
          </w:tcPr>
          <w:p w14:paraId="2B03DDE7" w14:textId="77777777" w:rsidR="009301C3" w:rsidRPr="008365C8" w:rsidRDefault="009301C3" w:rsidP="00151941">
            <w:pPr>
              <w:rPr>
                <w:rFonts w:cstheme="minorHAnsi"/>
                <w:b/>
                <w:bCs/>
                <w:i/>
                <w:iCs/>
              </w:rPr>
            </w:pPr>
            <w:r w:rsidRPr="008365C8">
              <w:rPr>
                <w:rFonts w:cstheme="minorHAnsi"/>
                <w:b/>
                <w:bCs/>
                <w:i/>
                <w:iCs/>
              </w:rPr>
              <w:t>Wnt1</w:t>
            </w:r>
          </w:p>
        </w:tc>
        <w:tc>
          <w:tcPr>
            <w:tcW w:w="5271" w:type="dxa"/>
            <w:shd w:val="clear" w:color="auto" w:fill="FFB74D"/>
            <w:hideMark/>
          </w:tcPr>
          <w:p w14:paraId="4E64AF13" w14:textId="77777777" w:rsidR="009301C3" w:rsidRPr="009C0388" w:rsidRDefault="009301C3" w:rsidP="00151941">
            <w:pPr>
              <w:rPr>
                <w:rFonts w:cstheme="minorHAnsi"/>
              </w:rPr>
            </w:pPr>
            <w:r w:rsidRPr="009C0388">
              <w:rPr>
                <w:rFonts w:cstheme="minorHAnsi"/>
              </w:rPr>
              <w:t xml:space="preserve">Neural plate border </w:t>
            </w:r>
          </w:p>
        </w:tc>
        <w:tc>
          <w:tcPr>
            <w:tcW w:w="3454" w:type="dxa"/>
            <w:shd w:val="clear" w:color="auto" w:fill="FFB74D"/>
            <w:hideMark/>
          </w:tcPr>
          <w:p w14:paraId="079D42AC"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{"citationID":"X7P1bKUA","properties":{"formattedCitation":"(Echelard et al., 1994; Parr et al., 1993)","plainCitation":"(Echelard et al., 1994; Parr et al., 1993)","dontUpdate":true,"noteIndex":0},"citationItems":[{"id":577,"uris":["http://zotero.org/groups/4575477/items/AH4EXTQR"],"itemData":{"id":577,"type":"article-journal","abstract":"The protooncogene Wnt-1 encodes a short-range signal which is first expressed in, and appears to demarcate, the presumptive midbrain. Absence of Wnt-1 expression leads to the loss of this region of the brain. By the end of neural tube closure, expression of Wnt-1 extends down much of the dorsal midline of the central nervous system (CNS). Expression is exclusively limited to the CNS at th</w:instrText>
            </w:r>
            <w:r>
              <w:rPr>
                <w:rFonts w:cstheme="minorHAnsi" w:hint="eastAsia"/>
              </w:rPr>
              <w:instrText>is and later stages. We have investigated the regulation of Wnt-1 during mouse development. Analysis of the embryonic expression of Wnt-1-lacZ reporter constructs spanning nearly 30 kb of the Wnt-1 locus identified a 5.5 kb cis-acting 3</w:instrText>
            </w:r>
            <w:r>
              <w:rPr>
                <w:rFonts w:cstheme="minorHAnsi" w:hint="eastAsia"/>
              </w:rPr>
              <w:instrText>′</w:instrText>
            </w:r>
            <w:r>
              <w:rPr>
                <w:rFonts w:cstheme="minorHAnsi" w:hint="eastAsia"/>
              </w:rPr>
              <w:instrText xml:space="preserve"> enhancer element </w:instrText>
            </w:r>
            <w:r>
              <w:rPr>
                <w:rFonts w:cstheme="minorHAnsi"/>
              </w:rPr>
              <w:instrText xml:space="preserve">which confers correct temporal and spatial expression on the lacZ gene. Interestingly embryos express Wnt-1-lacZ transgenes in migrating neural crest cells which are derived from the dorsal CNS. Ectopic expression of the Wnt-1-lacZ transgenes may result from perdurance of beta-galactosidase activity in migrating neural crest cells originating from a Wnt-1-expressing region of the dorsal CNS. Alternatively, ectopic expression may arise from transient de novo activation of the transgenes in this cell population. These results are a first step towards addressing how regional cell signaling is established in the mammalian CNS. In addition, transgene expression provides a new tool for the analysis of neural crest development in normal and mutant mouse embryos.","container-title":"Development","DOI":"10.1242/dev.120.8.2213","ISSN":"0950-1991","issue":"8","journalAbbreviation":"Development","page":"2213-2224","source":"Silverchair","title":"Cis-acting regulatory sequences governing Wnt-1 expression in the developing mouse CNS","volume":"120","author":[{"family":"Echelard","given":"Y."},{"family":"Vassileva","given":"G."},{"family":"McMahon","given":"A.P."}],"issued":{"date-parts":[["1994",8,1]]}}},{"id":578,"uris":["http://zotero.org/groups/4575477/items/7MFMNNWC"],"itemData":{"id":578,"type":"article-journal","abstract":"Mutation and expression studies have implicated the Wnt gene family in early developmental decision making in vertebrates and flies. In a detailed comparative analysis, we have used in situ hybridization of 8.0- to 9.5-day mouse embryos to characterize expression of all ten published Wnt genes in the central nervous system (CNS) and limb buds. Seven of the family members show restricted expression patterns in the brain. At least three genes (Wnt-3, Wnt-3a, and Wnt-7b) exhibit sharp boundaries of expression in the forebrain that may predict subdivisions of the region later in development. In the spinal cord, Wnt-1, Wnt-3, and Wnt-3a are expressed dorsally, Wnt-5a, Wnt-7a, and Wnt-7b more ventrally, and Wnt-4 both dorsally and in the floor plate. In the forelimb primordia, Wnt-3, Wnt-4, Wnt-6 and Wnt-7b are expressed fairly uniformly throughout the limb ectoderm. Wnt-5a RNA is distributed in a proximal to distal gradient through the limb mesenchyme and ectoderm. Along the limb's dorsal-ventral axis, Wnt-5a is expressed in the ventral ectoderm and Wnt-7a in the dorsal ectoderm. We discuss the significance of these patterns of restricted and partially overlapping domains of expression with respect to the putative function of Wnt signalling in early CNS and limb development.","container-title":"Development","DOI":"10.1242/dev.119.1.247","ISSN":"0950-1991","issue":"1","journalAbbreviation":"Development","page":"247-261","source":"Silverchair","title":"Mouse Wnt genes exhibit discrete domains of expression in the early embryonic CNS and limb buds","volume":"119","author":[{"family":"Parr","given":"B.A."},{"family":"Shea","given":"M.J."},{"family":"Vassileva","given":"G."},{"family":"McMahon","given":"A.P."}],"issued":{"date-parts":[["1993",9,1]]}}}],"schema":"https://github.com/citation-style-language/schema/raw/master/csl-citation.json"} </w:instrText>
            </w:r>
            <w:r w:rsidRPr="009C0388">
              <w:rPr>
                <w:rFonts w:cstheme="minorHAnsi"/>
              </w:rPr>
              <w:fldChar w:fldCharType="separate"/>
            </w:r>
            <w:r w:rsidRPr="009C0388">
              <w:rPr>
                <w:rFonts w:ascii="Calibri" w:hAnsi="Calibri" w:cs="Calibri"/>
              </w:rPr>
              <w:t>Echelard et al., 1994; Parr et al., 1993</w:t>
            </w:r>
            <w:r w:rsidRPr="009C0388">
              <w:rPr>
                <w:rFonts w:cstheme="minorHAnsi"/>
              </w:rPr>
              <w:fldChar w:fldCharType="end"/>
            </w:r>
          </w:p>
        </w:tc>
      </w:tr>
      <w:tr w:rsidR="009301C3" w:rsidRPr="005613C7" w14:paraId="75F06DBD" w14:textId="77777777" w:rsidTr="002C4FD3">
        <w:trPr>
          <w:trHeight w:val="376"/>
        </w:trPr>
        <w:tc>
          <w:tcPr>
            <w:tcW w:w="2250" w:type="dxa"/>
            <w:shd w:val="clear" w:color="auto" w:fill="FFB74D"/>
            <w:hideMark/>
          </w:tcPr>
          <w:p w14:paraId="02489F8A" w14:textId="77777777" w:rsidR="009301C3" w:rsidRPr="008365C8" w:rsidRDefault="009301C3" w:rsidP="00151941">
            <w:pPr>
              <w:rPr>
                <w:rFonts w:cstheme="minorHAnsi"/>
                <w:b/>
                <w:bCs/>
                <w:i/>
                <w:iCs/>
              </w:rPr>
            </w:pPr>
            <w:r w:rsidRPr="008365C8">
              <w:rPr>
                <w:rFonts w:cstheme="minorHAnsi"/>
                <w:b/>
                <w:bCs/>
                <w:i/>
                <w:iCs/>
              </w:rPr>
              <w:t>Pax7</w:t>
            </w:r>
          </w:p>
        </w:tc>
        <w:tc>
          <w:tcPr>
            <w:tcW w:w="5271" w:type="dxa"/>
            <w:shd w:val="clear" w:color="auto" w:fill="FFB74D"/>
            <w:hideMark/>
          </w:tcPr>
          <w:p w14:paraId="371D3000" w14:textId="77777777" w:rsidR="009301C3" w:rsidRPr="009C0388" w:rsidRDefault="009301C3" w:rsidP="00151941">
            <w:pPr>
              <w:rPr>
                <w:rFonts w:cstheme="minorHAnsi"/>
              </w:rPr>
            </w:pPr>
            <w:r w:rsidRPr="009C0388">
              <w:rPr>
                <w:rFonts w:cstheme="minorHAnsi"/>
              </w:rPr>
              <w:t>Neural plate border</w:t>
            </w:r>
          </w:p>
        </w:tc>
        <w:tc>
          <w:tcPr>
            <w:tcW w:w="3454" w:type="dxa"/>
            <w:shd w:val="clear" w:color="auto" w:fill="FFB74D"/>
            <w:hideMark/>
          </w:tcPr>
          <w:p w14:paraId="75C732B0"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{"citationID":"BHgfGv5x","properties":{"formattedCitation":"(Murdoch et al., 2012)","plainCitation":"(Murdoch et al., 2012)","dontUpdate":true,"noteIndex":0},"citationItems":[{"id":688,"uris":["http://zotero.org/groups/4575477/items/FXL3JH3E"],"itemData":{"id":688,"type":"article-journal","abstract":"BACKGROUND: Neural crest cells are vertebrate-specific multipotent cells that contribute to a variety of tissues including the peripheral nervous system, melanocytes, and craniofacial bones and cartilage. Abnormal development of the neural crest is associated with several human maladies including cleft/lip palate, aggressive cancers such as melanoma and neuroblastoma, and rare syndromes, like Waardenburg syndrome, a complex disorder involving hearing loss and pigment defects. We previously identified the transcription factor Pax7 as an early marker, and required component for neural crest development in chick embryos. In mammals, Pax7 is also thought to play a role in neural crest development, yet the precise contribution of Pax7 progenitors to the neural crest lineage has not been determined.\nMETHODOLOGY/PRINCIPAL FINDINGS: Here we use Cre/loxP technology in double transgenic mice to fate map the Pax7 lineage in neural crest derivates. We find that Pax7 descendants contribute to multiple tissues including the cranial, cardiac and trunk neural crest, which in the cranial cartilage form a distinct regional pattern. The Pax7 lineage, like the Pax3 lineage, is additionally detected in some non-neural crest tissues, including a subset of the epithelial cells in specific organs.\nCONCLUSIONS/SIGNIFICANCE: These results demonstrate a previously unappreciated widespread distribution of Pax7 descendants within and beyond the neural crest. They shed light regarding the regionally distinct phenotypes observed in Pax3 and Pax7 mutants, and provide a unique perspective into the potential roles of Pax7 during disease and development.","container-title":"PloS One","DOI":"10.1371/journal.pone.0041089","ISSN":"1932-6203","issue":"7","journalAbbreviation":"PLoS One","language":"eng","note":"PMID: 22848431\nPMCID: PMC3407174","page":"e41089","source":"PubMed","title":"Pax7 lineage contributions to the mammalian neural crest","volume":"7","author":[{"family":"Murdoch","given":"Barbara"},{"family":"DelConte","given":"Casey"},{"family":"García-Castro","given":"Martín I."}],"issued":{"date-parts":[["2012"]]}}}],"schema":"https://github.com/citation-style-language/schema/raw/master/csl-citation.json"} </w:instrText>
            </w:r>
            <w:r w:rsidRPr="009C0388">
              <w:rPr>
                <w:rFonts w:cstheme="minorHAnsi"/>
              </w:rPr>
              <w:fldChar w:fldCharType="separate"/>
            </w:r>
            <w:r w:rsidRPr="009C0388">
              <w:rPr>
                <w:rFonts w:ascii="Calibri" w:hAnsi="Calibri" w:cs="Calibri"/>
              </w:rPr>
              <w:t>Murdoch et al., 2012</w:t>
            </w:r>
            <w:r w:rsidRPr="009C0388">
              <w:rPr>
                <w:rFonts w:cstheme="minorHAnsi"/>
              </w:rPr>
              <w:fldChar w:fldCharType="end"/>
            </w:r>
          </w:p>
        </w:tc>
      </w:tr>
      <w:tr w:rsidR="009301C3" w:rsidRPr="005613C7" w14:paraId="05F12322" w14:textId="77777777" w:rsidTr="002C4FD3">
        <w:trPr>
          <w:trHeight w:val="224"/>
        </w:trPr>
        <w:tc>
          <w:tcPr>
            <w:tcW w:w="2250" w:type="dxa"/>
            <w:shd w:val="clear" w:color="auto" w:fill="90CAF9"/>
            <w:hideMark/>
          </w:tcPr>
          <w:p w14:paraId="23AEE9C4" w14:textId="77777777" w:rsidR="009301C3" w:rsidRPr="008365C8" w:rsidRDefault="009301C3" w:rsidP="00151941">
            <w:pPr>
              <w:rPr>
                <w:rFonts w:cstheme="minorHAnsi"/>
                <w:b/>
                <w:bCs/>
                <w:i/>
                <w:iCs/>
              </w:rPr>
            </w:pPr>
            <w:r w:rsidRPr="008365C8">
              <w:rPr>
                <w:rFonts w:cstheme="minorHAnsi"/>
                <w:b/>
                <w:bCs/>
                <w:i/>
                <w:iCs/>
              </w:rPr>
              <w:t>GCNF (Nr6a1)</w:t>
            </w:r>
          </w:p>
        </w:tc>
        <w:tc>
          <w:tcPr>
            <w:tcW w:w="5271" w:type="dxa"/>
            <w:shd w:val="clear" w:color="auto" w:fill="90CAF9"/>
            <w:hideMark/>
          </w:tcPr>
          <w:p w14:paraId="084AD2A8" w14:textId="77777777" w:rsidR="009301C3" w:rsidRPr="009C0388" w:rsidRDefault="009301C3" w:rsidP="00151941">
            <w:pPr>
              <w:rPr>
                <w:rFonts w:cstheme="minorHAnsi"/>
              </w:rPr>
            </w:pPr>
            <w:r w:rsidRPr="009C0388">
              <w:rPr>
                <w:rFonts w:cstheme="minorHAnsi"/>
              </w:rPr>
              <w:t>Neural epithelium and early MNCC</w:t>
            </w:r>
          </w:p>
        </w:tc>
        <w:tc>
          <w:tcPr>
            <w:tcW w:w="3454" w:type="dxa"/>
            <w:shd w:val="clear" w:color="auto" w:fill="90CAF9"/>
            <w:hideMark/>
          </w:tcPr>
          <w:p w14:paraId="39803154" w14:textId="77777777" w:rsidR="009301C3" w:rsidRPr="009C0388" w:rsidRDefault="009301C3" w:rsidP="00151941">
            <w:pPr>
              <w:rPr>
                <w:rFonts w:cstheme="minorHAnsi"/>
              </w:rPr>
            </w:pPr>
          </w:p>
        </w:tc>
      </w:tr>
      <w:tr w:rsidR="009301C3" w:rsidRPr="005613C7" w14:paraId="5AF08FD7" w14:textId="77777777" w:rsidTr="002C4FD3">
        <w:trPr>
          <w:trHeight w:val="260"/>
        </w:trPr>
        <w:tc>
          <w:tcPr>
            <w:tcW w:w="2250" w:type="dxa"/>
            <w:shd w:val="clear" w:color="auto" w:fill="90CAF9"/>
            <w:hideMark/>
          </w:tcPr>
          <w:p w14:paraId="0EDD8AFF" w14:textId="77777777" w:rsidR="009301C3" w:rsidRPr="008365C8" w:rsidRDefault="009301C3" w:rsidP="00151941">
            <w:pPr>
              <w:rPr>
                <w:rFonts w:cstheme="minorHAnsi"/>
                <w:b/>
                <w:bCs/>
                <w:i/>
                <w:iCs/>
              </w:rPr>
            </w:pPr>
            <w:r w:rsidRPr="008365C8">
              <w:rPr>
                <w:rFonts w:cstheme="minorHAnsi"/>
                <w:b/>
                <w:bCs/>
                <w:i/>
                <w:iCs/>
              </w:rPr>
              <w:t>Zeb2</w:t>
            </w:r>
          </w:p>
        </w:tc>
        <w:tc>
          <w:tcPr>
            <w:tcW w:w="5271" w:type="dxa"/>
            <w:shd w:val="clear" w:color="auto" w:fill="90CAF9"/>
            <w:hideMark/>
          </w:tcPr>
          <w:p w14:paraId="642A2297" w14:textId="77777777" w:rsidR="009301C3" w:rsidRPr="009C0388" w:rsidRDefault="009301C3" w:rsidP="00151941">
            <w:pPr>
              <w:rPr>
                <w:rFonts w:cstheme="minorHAnsi"/>
              </w:rPr>
            </w:pPr>
            <w:r w:rsidRPr="009C0388">
              <w:rPr>
                <w:rFonts w:cstheme="minorHAnsi"/>
              </w:rPr>
              <w:t>Neural epithelium and early MNCC</w:t>
            </w:r>
          </w:p>
        </w:tc>
        <w:tc>
          <w:tcPr>
            <w:tcW w:w="3454" w:type="dxa"/>
            <w:shd w:val="clear" w:color="auto" w:fill="90CAF9"/>
            <w:hideMark/>
          </w:tcPr>
          <w:p w14:paraId="3F7DDF69"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{"citationID":"BgQ5vsXo","properties":{"formattedCitation":"(Van de Putte et al., 2003)","plainCitation":"(Van de Putte et al., 2003)","dontUpdate":true,"noteIndex":0},"citationItems":[{"id":706,"uris":["http://zotero.org/groups/4575477/items/88FXBHFR"],"itemData":{"id":706,"type":"article-journal","abstract":"Recently, mutations in ZFHX1B, the gene that encodes Smad-interacting protein-1 (SIP1), were found to be implicated in the etiology of a dominant form of Hirschsprung disease-mental retardation syndrome in humans. To clarify the molecular mechanisms underlying the clinical features of SIP1 deficiency, we generated mice that bear a mutation comparable to those found in several human patients. Here, we show that Zfhx1b-knockout mice do not develop postotic vagal neural crest cells, the precursors of the enteric nervous system that is affected in patients with Hirschsprung disease, and they display a delamination arrest of cranial neural crest cells, which form the skeletomuscular elements of the vertebrate head. This suggests that Sip1 is essential for the development of vagal neural crest precursors and the migratory behavior of cranial neural crest in the mouse. Furthermore, we show that Sip1 is involved in the specification of neuroepithelium.","container-title":"American Journal of Human Genetics","DOI":"10.1086/346092","ISSN":"0002-9297","issue":"2","journalAbbreviation":"Am J Hum Genet","language":"eng","note":"PMID: 12522767\nPMCID: PMC379238","page":"465-470","source":"PubMed","title":"Mice lacking ZFHX1B, the gene that codes for Smad-interacting protein-1, reveal a role for multiple neural crest cell defects in the etiology of Hirschsprung disease-mental retardation syndrome","volume":"72","author":[{"family":"Van de Putte","given":"Tom"},{"family":"Maruhashi","given":"Mitsuji"},{"family":"Francis","given":"Annick"},{"family":"Nelles","given":"Luc"},{"family":"Kondoh","given":"Hisato"},{"family":"Huylebroeck","given":"Danny"},{"family":"Higashi","given":"Yujiro"}],"issued":{"date-parts":[["2003",2]]}}}],"schema":"https://github.com/citation-style-language/schema/raw/master/csl-citation.json"} </w:instrText>
            </w:r>
            <w:r w:rsidRPr="009C0388">
              <w:rPr>
                <w:rFonts w:cstheme="minorHAnsi"/>
              </w:rPr>
              <w:fldChar w:fldCharType="separate"/>
            </w:r>
            <w:r w:rsidRPr="009C0388">
              <w:rPr>
                <w:rFonts w:ascii="Calibri" w:hAnsi="Calibri" w:cs="Calibri"/>
              </w:rPr>
              <w:t>Van de Putte et al., 2003</w:t>
            </w:r>
            <w:r w:rsidRPr="009C0388">
              <w:rPr>
                <w:rFonts w:cstheme="minorHAnsi"/>
              </w:rPr>
              <w:fldChar w:fldCharType="end"/>
            </w:r>
          </w:p>
        </w:tc>
      </w:tr>
      <w:tr w:rsidR="009301C3" w:rsidRPr="005613C7" w14:paraId="4127F56A" w14:textId="77777777" w:rsidTr="002C4FD3">
        <w:trPr>
          <w:trHeight w:val="242"/>
        </w:trPr>
        <w:tc>
          <w:tcPr>
            <w:tcW w:w="2250" w:type="dxa"/>
            <w:shd w:val="clear" w:color="auto" w:fill="90CAF9"/>
            <w:hideMark/>
          </w:tcPr>
          <w:p w14:paraId="59CB1CFF" w14:textId="77777777" w:rsidR="009301C3" w:rsidRPr="008365C8" w:rsidRDefault="009301C3" w:rsidP="00151941">
            <w:pPr>
              <w:rPr>
                <w:rFonts w:cstheme="minorHAnsi"/>
                <w:b/>
                <w:bCs/>
                <w:i/>
                <w:iCs/>
              </w:rPr>
            </w:pPr>
            <w:r w:rsidRPr="008365C8">
              <w:rPr>
                <w:rFonts w:cstheme="minorHAnsi"/>
                <w:b/>
                <w:bCs/>
                <w:i/>
                <w:iCs/>
              </w:rPr>
              <w:t>Pax3</w:t>
            </w:r>
          </w:p>
        </w:tc>
        <w:tc>
          <w:tcPr>
            <w:tcW w:w="5271" w:type="dxa"/>
            <w:shd w:val="clear" w:color="auto" w:fill="90CAF9"/>
            <w:hideMark/>
          </w:tcPr>
          <w:p w14:paraId="60244012" w14:textId="77777777" w:rsidR="009301C3" w:rsidRPr="009C0388" w:rsidRDefault="009301C3" w:rsidP="00151941">
            <w:pPr>
              <w:rPr>
                <w:rFonts w:cstheme="minorHAnsi"/>
              </w:rPr>
            </w:pPr>
            <w:r w:rsidRPr="009C0388">
              <w:rPr>
                <w:rFonts w:cstheme="minorHAnsi"/>
              </w:rPr>
              <w:t>Neural plate border and early MNCC</w:t>
            </w:r>
          </w:p>
        </w:tc>
        <w:tc>
          <w:tcPr>
            <w:tcW w:w="3454" w:type="dxa"/>
            <w:shd w:val="clear" w:color="auto" w:fill="90CAF9"/>
            <w:hideMark/>
          </w:tcPr>
          <w:p w14:paraId="69BADFC8"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{"citationID":"aIBxN0HT","properties":{"formattedCitation":"(Li et al., 2000)","plainCitation":"(Li et al., 2000)","dontUpdate":true,"noteIndex":0},"citationItems":[{"id":576,"uris":["http://zotero.org/groups/4575477/items/JVR7VDJP"],"itemData":{"id":576,"type":"article-journal","container-title":"genesis","DOI":"10.1002/(SICI)1526-968X(200002)26:2&lt;162::AID-GENE21&gt;3.0.CO;2-R","ISSN":"1526-968X","issue":"2","language":"en","note":"_eprint: https://onlinelibrary.wiley.com/doi/pdf/10.1002/%28SICI%291526-968X%28200002%2926%3A2%3C162%3A%3AAID-GENE21%3E3.0.CO%3B2-R","page":"162-164","source":"Wiley Online Library","title":"Neural crest expression of Cre recombinase directed by the proximal Pax3 promoter in transgenic mice","volume":"26","author":[{"family":"Li","given":"Jun"},{"family":"Chen","given":"Fabian"},{"family":"Epstein","given":"Jonathan A."}],"issued":{"date-parts":[["2000"]]}}}],"schema":"https://github.com/citation-style-language/schema/raw/master/csl-citation.json"} </w:instrText>
            </w:r>
            <w:r w:rsidRPr="009C0388">
              <w:rPr>
                <w:rFonts w:cstheme="minorHAnsi"/>
              </w:rPr>
              <w:fldChar w:fldCharType="separate"/>
            </w:r>
            <w:r w:rsidRPr="009C0388">
              <w:rPr>
                <w:rFonts w:ascii="Calibri" w:hAnsi="Calibri" w:cs="Calibri"/>
              </w:rPr>
              <w:t>Li et al., 2000</w:t>
            </w:r>
            <w:r w:rsidRPr="009C0388">
              <w:rPr>
                <w:rFonts w:cstheme="minorHAnsi"/>
              </w:rPr>
              <w:fldChar w:fldCharType="end"/>
            </w:r>
          </w:p>
        </w:tc>
      </w:tr>
      <w:tr w:rsidR="009301C3" w:rsidRPr="005613C7" w14:paraId="37C61793" w14:textId="77777777" w:rsidTr="002C4FD3">
        <w:trPr>
          <w:trHeight w:val="287"/>
        </w:trPr>
        <w:tc>
          <w:tcPr>
            <w:tcW w:w="2250" w:type="dxa"/>
            <w:shd w:val="clear" w:color="auto" w:fill="90CAF9"/>
            <w:hideMark/>
          </w:tcPr>
          <w:p w14:paraId="34FEC3B7" w14:textId="77777777" w:rsidR="009301C3" w:rsidRPr="00900E1C" w:rsidRDefault="009301C3" w:rsidP="00151941">
            <w:pPr>
              <w:rPr>
                <w:rFonts w:cstheme="minorHAnsi"/>
                <w:b/>
                <w:bCs/>
              </w:rPr>
            </w:pPr>
            <w:r w:rsidRPr="00900E1C">
              <w:rPr>
                <w:rFonts w:cstheme="minorHAnsi"/>
                <w:b/>
                <w:bCs/>
              </w:rPr>
              <w:t>(Wnt1-Cre) EYFP</w:t>
            </w:r>
          </w:p>
        </w:tc>
        <w:tc>
          <w:tcPr>
            <w:tcW w:w="5271" w:type="dxa"/>
            <w:shd w:val="clear" w:color="auto" w:fill="90CAF9"/>
            <w:hideMark/>
          </w:tcPr>
          <w:p w14:paraId="2CA72603" w14:textId="77777777" w:rsidR="009301C3" w:rsidRPr="009C0388" w:rsidRDefault="009301C3" w:rsidP="00151941">
            <w:pPr>
              <w:rPr>
                <w:rFonts w:cstheme="minorHAnsi"/>
              </w:rPr>
            </w:pPr>
            <w:r w:rsidRPr="009C0388">
              <w:rPr>
                <w:rFonts w:cstheme="minorHAnsi"/>
              </w:rPr>
              <w:t>Neural plate border and early MNCC</w:t>
            </w:r>
          </w:p>
        </w:tc>
        <w:tc>
          <w:tcPr>
            <w:tcW w:w="3454" w:type="dxa"/>
            <w:shd w:val="clear" w:color="auto" w:fill="90CAF9"/>
            <w:hideMark/>
          </w:tcPr>
          <w:p w14:paraId="236A1576"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{"citationID":"rAerZvUm","properties":{"formattedCitation":"(Hari et al., 2012)","plainCitation":"(Hari et al., 2012)","dontUpdate":true,"noteIndex":0},"citationItems":[{"id":575,"uris":["http://zotero.org/groups/4575477/items/KMJTWJUX"],"itemData":{"id":575,"type":"article-journal","abstract":"Wnt/β-catenin signaling controls multiple steps of neural crest development, ranging from neural crest induction, lineage decisions, to differentiation. In mice, conditional β-catenin inactivation in premigratory neural crest cells abolishes both sensory neuron and melanocyte formation. Intriguingly, the generation of melanocytes is also prevented by activation of β-catenin in the premigratory neural crest, which promotes sensory neurogenesis at the expense of other neural crest derivatives. This raises the question of how Wnt/β-catenin signaling regulates the formation of distinct lineages from the neural crest. Using various Cre lines to conditionally activate β-catenin in neural crest cells at different developmental stages, we show that neural crest cell fate decisions in vivo are subject to temporal control by Wnt/β-catenin. Unlike in premigratory neural crest, β-catenin activation in migratory neural crest cells promotes the formation of ectopic melanoblasts, while the production of most other lineages is suppressed. Ectopic melanoblasts emerge at sites of neural crest target structures and in many tissues usually devoid of neural crest-derived cells. β-catenin activation at later stages in glial progenitors or in melanoblasts does not lead to surplus melanoblasts, indicating a narrow time window of Wnt/β-catenin responsiveness during neural crest cell migration. Thus, neural crest cells appear to be multipotent in vivo both before and after emigration from the neural tube but adapt their response to extracellular signals in a temporally controlled manner.","container-title":"Development (Cambridge, England)","DOI":"10.1242/dev.073064","ISSN":"1477-9129","issue":"12","journalAbbreviation":"Development","language":"eng","note":"PMID: 22573620","page":"2107-2117","source":"PubMed","title":"Temporal control of neural crest lineage generation by Wnt/β-catenin signaling","volume":"139","author":[{"family":"Hari","given":"Lisette"},{"family":"Miescher","given":"Iris"},{"family":"Shakhova","given":"Olga"},{"family":"Suter","given":"Ueli"},{"family":"Chin","given":"Lynda"},{"family":"Taketo","given":"Makoto"},{"family":"Richardson","given":"William D."},{"family":"Kessaris","given":"Nicoletta"},{"family":"Sommer","given":"Lukas"}],"issued":{"date-parts":[["2012",6]]}}}],"schema":"https://github.com/citation-style-language/schema/raw/master/csl-citation.json"} </w:instrText>
            </w:r>
            <w:r w:rsidRPr="009C0388">
              <w:rPr>
                <w:rFonts w:cstheme="minorHAnsi"/>
              </w:rPr>
              <w:fldChar w:fldCharType="separate"/>
            </w:r>
            <w:r w:rsidRPr="009C0388">
              <w:rPr>
                <w:rFonts w:ascii="Calibri" w:hAnsi="Calibri" w:cs="Calibri"/>
              </w:rPr>
              <w:t>Hari et al., 2012</w:t>
            </w:r>
            <w:r w:rsidRPr="009C0388">
              <w:rPr>
                <w:rFonts w:cstheme="minorHAnsi"/>
              </w:rPr>
              <w:fldChar w:fldCharType="end"/>
            </w:r>
          </w:p>
        </w:tc>
      </w:tr>
      <w:tr w:rsidR="009301C3" w:rsidRPr="005613C7" w14:paraId="28F8972C" w14:textId="77777777" w:rsidTr="002C4FD3">
        <w:trPr>
          <w:trHeight w:val="251"/>
        </w:trPr>
        <w:tc>
          <w:tcPr>
            <w:tcW w:w="2250" w:type="dxa"/>
            <w:shd w:val="clear" w:color="auto" w:fill="90CAF9"/>
            <w:hideMark/>
          </w:tcPr>
          <w:p w14:paraId="458335B9" w14:textId="77777777" w:rsidR="009301C3" w:rsidRPr="008365C8" w:rsidRDefault="009301C3" w:rsidP="00151941">
            <w:pPr>
              <w:rPr>
                <w:rFonts w:cstheme="minorHAnsi"/>
                <w:b/>
                <w:bCs/>
                <w:i/>
                <w:iCs/>
              </w:rPr>
            </w:pPr>
            <w:r w:rsidRPr="008365C8">
              <w:rPr>
                <w:rFonts w:cstheme="minorHAnsi"/>
                <w:b/>
                <w:bCs/>
                <w:i/>
                <w:iCs/>
              </w:rPr>
              <w:t>Sox9</w:t>
            </w:r>
          </w:p>
        </w:tc>
        <w:tc>
          <w:tcPr>
            <w:tcW w:w="5271" w:type="dxa"/>
            <w:shd w:val="clear" w:color="auto" w:fill="90CAF9"/>
            <w:hideMark/>
          </w:tcPr>
          <w:p w14:paraId="55B0D372" w14:textId="77777777" w:rsidR="009301C3" w:rsidRPr="009C0388" w:rsidRDefault="009301C3" w:rsidP="00151941">
            <w:pPr>
              <w:rPr>
                <w:rFonts w:cstheme="minorHAnsi"/>
              </w:rPr>
            </w:pPr>
            <w:r w:rsidRPr="009C0388">
              <w:rPr>
                <w:rFonts w:cstheme="minorHAnsi"/>
              </w:rPr>
              <w:t>Neural plate border and early MNCC</w:t>
            </w:r>
          </w:p>
        </w:tc>
        <w:tc>
          <w:tcPr>
            <w:tcW w:w="3454" w:type="dxa"/>
            <w:shd w:val="clear" w:color="auto" w:fill="90CAF9"/>
            <w:hideMark/>
          </w:tcPr>
          <w:p w14:paraId="7BACA310"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{"citationID":"XJSGa5Pb","properties":{"formattedCitation":"(Lee et al., 2013)","plainCitation":"(Lee et al., 2013)","dontUpdate":true,"noteIndex":0},"citationItems":[{"id":774,"uris":["http://zotero.org/groups/4575477/items/KSMVRLMJ"],"itemData":{"id":774,"type":"article-journal","abstract":"The neural crest is a transient structure unique to vertebrate embryos that gives rise to multiple lineages along the rostrocaudal axis. In cranial regions, neural crest cells are thought to differentiate into chondrocytes, osteocytes, pericytes and stromal cells, which are collectively termed ectomesenchyme derivatives, as well as pigment and neuronal derivatives. There is still no consensus as to whether the neural crest can be classified as a homogenous multipotent population of cells. This unresolved controversy has important implications for the formation of ectomesenchyme and for confirmation of whether the neural fold is compartmentalized into distinct domains, each with a different repertoire of derivatives. Here we report in mouse and chicken that cells in the neural fold delaminate over an extended period from different regions of the cranial neural fold to give rise to cells with distinct fates. Importantly, cells that give rise to ectomesenchyme undergo epithelial-mesenchymal transition from a lateral neural fold domain that does not express definitive neural markers, such as Sox1 and N-cadherin. Additionally, the inference that cells originating from the cranial neural ectoderm have a common origin and cell fate with trunk neural crest cells prompted us to revisit the issue of what defines the neural crest and the origin of the ectomesenchyme.","container-title":"Development (Cambridge, England)","DOI":"10.1242/dev.094680","ISSN":"1477-9129","issue":"24","journalAbbreviation":"Development","language":"eng","note":"PMID: 24198279\nPMCID: PMC4074292","page":"4890-4902","source":"PubMed","title":"Cell delamination in the mesencephalic neural fold and its implication for the origin of ectomesenchyme","volume":"140","author":[{"family":"Lee","given":"Raymond Teck Ho"},{"family":"Nagai","given":"Hiroki"},{"family":"Nakaya","given":"Yukiko"},{"family":"Sheng","given":"Guojun"},{"family":"Trainor","given":"Paul A."},{"family":"Weston","given":"James A."},{"family":"Thiery","given":"Jean Paul"}],"issued":{"date-parts":[["2013",12]]}}}],"schema":"https://github.com/citation-style-language/schema/raw/master/csl-citation.json"} </w:instrText>
            </w:r>
            <w:r w:rsidRPr="009C0388">
              <w:rPr>
                <w:rFonts w:cstheme="minorHAnsi"/>
              </w:rPr>
              <w:fldChar w:fldCharType="separate"/>
            </w:r>
            <w:r w:rsidRPr="009C0388">
              <w:rPr>
                <w:rFonts w:ascii="Calibri" w:hAnsi="Calibri" w:cs="Calibri"/>
              </w:rPr>
              <w:t>Lee et al., 2013</w:t>
            </w:r>
            <w:r w:rsidRPr="009C0388">
              <w:rPr>
                <w:rFonts w:cstheme="minorHAnsi"/>
              </w:rPr>
              <w:fldChar w:fldCharType="end"/>
            </w:r>
          </w:p>
        </w:tc>
      </w:tr>
      <w:tr w:rsidR="009301C3" w:rsidRPr="005613C7" w14:paraId="1B43CC63" w14:textId="77777777" w:rsidTr="002C4FD3">
        <w:trPr>
          <w:trHeight w:val="314"/>
        </w:trPr>
        <w:tc>
          <w:tcPr>
            <w:tcW w:w="2250" w:type="dxa"/>
            <w:shd w:val="clear" w:color="auto" w:fill="90CAF9"/>
            <w:hideMark/>
          </w:tcPr>
          <w:p w14:paraId="63CC3E49" w14:textId="77777777" w:rsidR="009301C3" w:rsidRPr="008365C8" w:rsidRDefault="009301C3" w:rsidP="00151941">
            <w:pPr>
              <w:rPr>
                <w:rFonts w:cstheme="minorHAnsi"/>
                <w:b/>
                <w:bCs/>
                <w:i/>
                <w:iCs/>
              </w:rPr>
            </w:pPr>
            <w:r w:rsidRPr="008365C8">
              <w:rPr>
                <w:rFonts w:cstheme="minorHAnsi"/>
                <w:b/>
                <w:bCs/>
                <w:i/>
                <w:iCs/>
              </w:rPr>
              <w:t>Foxd3</w:t>
            </w:r>
          </w:p>
        </w:tc>
        <w:tc>
          <w:tcPr>
            <w:tcW w:w="5271" w:type="dxa"/>
            <w:shd w:val="clear" w:color="auto" w:fill="90CAF9"/>
            <w:hideMark/>
          </w:tcPr>
          <w:p w14:paraId="2D7E656A" w14:textId="77777777" w:rsidR="009301C3" w:rsidRPr="009C0388" w:rsidRDefault="009301C3" w:rsidP="00151941">
            <w:pPr>
              <w:rPr>
                <w:rFonts w:cstheme="minorHAnsi"/>
              </w:rPr>
            </w:pPr>
            <w:r w:rsidRPr="009C0388">
              <w:rPr>
                <w:rFonts w:cstheme="minorHAnsi"/>
              </w:rPr>
              <w:t>Neural plate border and early MNCC</w:t>
            </w:r>
          </w:p>
        </w:tc>
        <w:tc>
          <w:tcPr>
            <w:tcW w:w="3454" w:type="dxa"/>
            <w:shd w:val="clear" w:color="auto" w:fill="90CAF9"/>
            <w:hideMark/>
          </w:tcPr>
          <w:p w14:paraId="650566C0"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{"citationID":"G9friK9q","properties":{"formattedCitation":"(Dottori et al., 2001)","plainCitation":"(Dottori et al., 2001)","dontUpdate":true,"noteIndex":0},"citationItems":[{"id":147,"uris":["http://zotero.org/users/8063595/items/VY4SZIZS"],"itemData":{"id":147,"type":"article-journal","abstract":"The neural crest is a migratory cell population that gives rise to multiple cell types in the vertebrate embryo. The intrinsic determinants that segregate neural crest cells from multipotential dorsal progenitors within the neural tube are poorly defined. In this study, we show that the winged helix transcription factor Foxd3 is expressed in both premigratory and migratory neural crest cells. Foxd3 is genetically downstream of Pax3 and is not expressed in regions of Pax3 mutant mice that lack neural crest, implying that Foxd3 may regulate aspects of the neural crest differentiation program. We show that misexpression of Foxd3 in the chick neural tube promotes a neural crest-like phenotype and suppresses interneuron differentiation. Cells that ectopically express Foxd3 upregulate HNK1 and Cad7, delaminate and emigrate from the neural tube at multiple dorsoventral levels. Foxd3 does not induce Slug and RhoB, nor is its ability to promote a neural crest-like phenotype enhanced by co-expression of Slug. Together these results suggest Foxd3 can function independently of Slug and RhoB to promote the development of neural crest cells from neural tube progenitors.","container-title":"Development (Cambridge, England)","DOI":"10.1242/dev.128.21.4127","ISSN":"0950-1991","issue":"21","journalAbbreviation":"Development","language":"eng","note":"PMID: 11684651","page":"4127-4138","source":"PubMed","title":"The winged-helix transcription factor Foxd3 suppresses interneuron differentiation and promotes neural crest cell fate","volume":"128","author":[{"family":"Dottori","given":"M."},{"family":"Gross","given":"M. K."},{"family":"Labosky","given":"P."},{"family":"Goulding","given":"M."}],"issued":{"date-parts":[["2001",11]]}}}],"schema":"https://github.com/citation-style-language/schema/raw/master/csl-citation.json"} </w:instrText>
            </w:r>
            <w:r w:rsidRPr="009C0388">
              <w:rPr>
                <w:rFonts w:cstheme="minorHAnsi"/>
              </w:rPr>
              <w:fldChar w:fldCharType="separate"/>
            </w:r>
            <w:r w:rsidRPr="009C0388">
              <w:rPr>
                <w:rFonts w:ascii="Calibri" w:hAnsi="Calibri" w:cs="Calibri"/>
              </w:rPr>
              <w:t>Dottori et al., 2001</w:t>
            </w:r>
            <w:r w:rsidRPr="009C0388">
              <w:rPr>
                <w:rFonts w:cstheme="minorHAnsi"/>
              </w:rPr>
              <w:fldChar w:fldCharType="end"/>
            </w:r>
          </w:p>
        </w:tc>
      </w:tr>
      <w:tr w:rsidR="009301C3" w:rsidRPr="005613C7" w14:paraId="68068CA1" w14:textId="77777777" w:rsidTr="002C4FD3">
        <w:trPr>
          <w:trHeight w:val="188"/>
        </w:trPr>
        <w:tc>
          <w:tcPr>
            <w:tcW w:w="2250" w:type="dxa"/>
            <w:shd w:val="clear" w:color="auto" w:fill="90CAF9"/>
            <w:hideMark/>
          </w:tcPr>
          <w:p w14:paraId="1304B661" w14:textId="77777777" w:rsidR="009301C3" w:rsidRPr="008365C8" w:rsidRDefault="009301C3" w:rsidP="00151941">
            <w:pPr>
              <w:rPr>
                <w:rFonts w:cstheme="minorHAnsi"/>
                <w:b/>
                <w:bCs/>
                <w:i/>
                <w:iCs/>
              </w:rPr>
            </w:pPr>
            <w:r w:rsidRPr="008365C8">
              <w:rPr>
                <w:rFonts w:cstheme="minorHAnsi"/>
                <w:b/>
                <w:bCs/>
                <w:i/>
                <w:iCs/>
              </w:rPr>
              <w:t>Snail1</w:t>
            </w:r>
          </w:p>
        </w:tc>
        <w:tc>
          <w:tcPr>
            <w:tcW w:w="5271" w:type="dxa"/>
            <w:shd w:val="clear" w:color="auto" w:fill="90CAF9"/>
            <w:hideMark/>
          </w:tcPr>
          <w:p w14:paraId="36D5547F" w14:textId="77777777" w:rsidR="009301C3" w:rsidRPr="009C0388" w:rsidRDefault="009301C3" w:rsidP="00151941">
            <w:pPr>
              <w:rPr>
                <w:rFonts w:cstheme="minorHAnsi"/>
              </w:rPr>
            </w:pPr>
            <w:r w:rsidRPr="009C0388">
              <w:rPr>
                <w:rFonts w:cstheme="minorHAnsi"/>
              </w:rPr>
              <w:t>Neural plate border and early MNCC</w:t>
            </w:r>
          </w:p>
        </w:tc>
        <w:tc>
          <w:tcPr>
            <w:tcW w:w="3454" w:type="dxa"/>
            <w:shd w:val="clear" w:color="auto" w:fill="90CAF9"/>
            <w:hideMark/>
          </w:tcPr>
          <w:p w14:paraId="31175AE3"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{"citationID":"8o7pObfm","properties":{"formattedCitation":"(Cheung et al., 2005)","plainCitation":"(Cheung et al., 2005)","dontUpdate":true,"noteIndex":0},"citationItems":[{"id":642,"uris":["http://zotero.org/groups/4575477/items/UNTTLQWN"],"itemData":{"id":642,"type":"article-journal","abstract":"Trunk neural crest cells are generated at the border between the neural plate and nonneural ectoderm, where they initiate a distinct program of gene expression, undergo an epithelial-mesenchymal transition (EMT), and delaminate from the neuroepithelium. Here, we provide evidence that members of three families of transcription induce these properties in premigratory neural crest cells. Sox9 acts to provide the competence for neural crest cells to undergo an EMT and is required for trunk neural crest survival. In the absence of Sox9, cells apoptose prior to or shortly after delamination. Slug/Snail, in the presence of Sox9, is sufficient to induce an EMT in neural epithelial cells, while FoxD3 regulates the expression of cell-cell adhesion molecules required for neural crest migration. Together, the data suggest a model in which a combination of transcription factors regulates the acquisition of the diverse properties of neural crest cells.","container-title":"Developmental Cell","DOI":"10.1016/j.devcel.2004.12.010","ISSN":"1534-5807","issue":"2","journalAbbreviation":"Dev Cell","language":"eng","note":"PMID: 15691760","page":"179-192","source":"PubMed","title":"The transcriptional control of trunk neural crest induction, survival, and delamination","volume":"8","author":[{"family":"Cheung","given":"Martin"},{"family":"Chaboissier","given":"Marie-Christine"},{"family":"Mynett","given":"Anita"},{"family":"Hirst","given":"Elizabeth"},{"family":"Schedl","given":"Andreas"},{"family":"Briscoe","given":"James"}],"issued":{"date-parts":[["2005",2]]}}}],"schema":"https://github.com/citation-style-language/schema/raw/master/csl-citation.json"} </w:instrText>
            </w:r>
            <w:r w:rsidRPr="009C0388">
              <w:rPr>
                <w:rFonts w:cstheme="minorHAnsi"/>
              </w:rPr>
              <w:fldChar w:fldCharType="separate"/>
            </w:r>
            <w:r w:rsidRPr="009C0388">
              <w:rPr>
                <w:rFonts w:ascii="Calibri" w:hAnsi="Calibri" w:cs="Calibri"/>
              </w:rPr>
              <w:t>Cheung et al., 2005</w:t>
            </w:r>
            <w:r w:rsidRPr="009C0388">
              <w:rPr>
                <w:rFonts w:cstheme="minorHAnsi"/>
              </w:rPr>
              <w:fldChar w:fldCharType="end"/>
            </w:r>
          </w:p>
        </w:tc>
      </w:tr>
      <w:tr w:rsidR="009301C3" w:rsidRPr="005613C7" w14:paraId="6DB6475F" w14:textId="77777777" w:rsidTr="002C4FD3">
        <w:trPr>
          <w:trHeight w:val="305"/>
        </w:trPr>
        <w:tc>
          <w:tcPr>
            <w:tcW w:w="2250" w:type="dxa"/>
            <w:shd w:val="clear" w:color="auto" w:fill="9E86C9"/>
            <w:hideMark/>
          </w:tcPr>
          <w:p w14:paraId="5E4DF858" w14:textId="5789C976" w:rsidR="009301C3" w:rsidRPr="00900E1C" w:rsidRDefault="002C4FD3" w:rsidP="00151941">
            <w:pPr>
              <w:rPr>
                <w:rFonts w:cstheme="minorHAnsi"/>
                <w:b/>
                <w:bCs/>
              </w:rPr>
            </w:pPr>
            <w:r>
              <w:rPr>
                <w:rFonts w:cstheme="minorHAnsi"/>
                <w:b/>
                <w:bCs/>
              </w:rPr>
              <w:t>(</w:t>
            </w:r>
            <w:r w:rsidR="009301C3" w:rsidRPr="00900E1C">
              <w:rPr>
                <w:rFonts w:cstheme="minorHAnsi"/>
                <w:b/>
                <w:bCs/>
              </w:rPr>
              <w:t>Mef2c-F10N</w:t>
            </w:r>
            <w:r>
              <w:rPr>
                <w:rFonts w:cstheme="minorHAnsi"/>
                <w:b/>
                <w:bCs/>
              </w:rPr>
              <w:t xml:space="preserve">) </w:t>
            </w:r>
            <w:r w:rsidR="009301C3" w:rsidRPr="00900E1C">
              <w:rPr>
                <w:rFonts w:cstheme="minorHAnsi"/>
                <w:b/>
                <w:bCs/>
              </w:rPr>
              <w:t>LacZ</w:t>
            </w:r>
          </w:p>
        </w:tc>
        <w:tc>
          <w:tcPr>
            <w:tcW w:w="5271" w:type="dxa"/>
            <w:shd w:val="clear" w:color="auto" w:fill="9E86C9"/>
            <w:hideMark/>
          </w:tcPr>
          <w:p w14:paraId="703D2B79" w14:textId="77777777" w:rsidR="009301C3" w:rsidRPr="009C0388" w:rsidRDefault="009301C3" w:rsidP="00151941">
            <w:pPr>
              <w:rPr>
                <w:rFonts w:cstheme="minorHAnsi"/>
              </w:rPr>
            </w:pPr>
            <w:r w:rsidRPr="009C0388">
              <w:rPr>
                <w:rFonts w:cstheme="minorHAnsi"/>
              </w:rPr>
              <w:t>Predominantly MNCC</w:t>
            </w:r>
          </w:p>
        </w:tc>
        <w:tc>
          <w:tcPr>
            <w:tcW w:w="3454" w:type="dxa"/>
            <w:shd w:val="clear" w:color="auto" w:fill="9E86C9"/>
            <w:hideMark/>
          </w:tcPr>
          <w:p w14:paraId="75B9A32F"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{"citationID":"PQep0uRN","properties":{"formattedCitation":"(Aoto et al., 2015)","plainCitation":"(Aoto et al., 2015)","dontUpdate":true,"noteIndex":0},"citationItems":[{"id":592,"uris":["http://zotero.org/groups/4575477/items/KXVEAW84"],"itemData":{"id":592,"type":"article-journal","abstract":"Neural crest cells (NCC) comprise a multipotent, migratory stem cell and progenitor population that gives rise to numerous cell and tissue types within a developing embryo, including craniofacial bone and cartilage, neurons and glia of the peripheral nervous system, and melanocytes within the skin. Here we describe two novel stable transgenic mouse lines suitable for lineage tracing and analysis of gene function in NCC. Firstly, using the F10N enhancer of the Mef2c gene (Mef2c-F10N) linked to LacZ, we generated transgenic mice (Mef2c-F10N-LacZ) that express LacZ in the majority, if not all migrating NCC that delaminate from the neural tube. Mef2c-F10N-LacZ then continues to be expressed primarily in neurogenic, gliogenic and melanocytic NCC and their derivatives, but not in ectomesenchymal derivatives. Secondly, we used the same Mef2c-F10N enhancer together with Cre recombinase to generate transgenic mice (Mef2c-F10N-Cre) that can be used to indelibly label, or alter gene function in, migrating NCC and their derivatives. At early stages of development, Mef2c-F10N-LacZ and Mef2c-F10N-Cre label NCC in a pattern similar to Wnt1-Cre mice, with the exception that Mef2c-F10N-LacZ and Mef2c-F10N-Cre specifically label NCC that have delaminated from the neural plate, while premigratory NCC are not labeled. Thus, our Mef2c-F10N-LacZ and Mef2c-F10N-Cre transgenic mice provide new resources for tracing migratory NCC and analyzing gene function in migrating and differentiating NCC independently of NCC formation.","container-title":"Developmental Biology","DOI":"10.1016/j.ydbio.2015.02.022","ISSN":"1095-564X","issue":"1","journalAbbreviation":"Dev Biol","language":"eng","note":"PMID: 25794678\nPMCID: PMC4433593","page":"3-16","source":"PubMed","title":"Mef2c-F10N enhancer driven β-galactosidase (LacZ) and Cre recombinase mice facilitate analyses of gene function and lineage fate in neural crest cells","volume":"402","author":[{"family":"Aoto","given":"Kazushi"},{"family":"Sandell","given":"Lisa L."},{"family":"Butler Tjaden","given":"Naomi E."},{"family":"Yuen","given":"Kobe C."},{"family":"Watt","given":"Kristin E. Noack"},{"family":"Black","given":"Brian L."},{"family":"Durnin","given":"Michael"},{"family":"Trainor","given":"Paul A."}],"issued":{"date-parts":[["2015",6,1]]}}}],"schema":"https://github.com/citation-style-language/schema/raw/master/csl-citation.json"} </w:instrText>
            </w:r>
            <w:r w:rsidRPr="009C0388">
              <w:rPr>
                <w:rFonts w:cstheme="minorHAnsi"/>
              </w:rPr>
              <w:fldChar w:fldCharType="separate"/>
            </w:r>
            <w:r w:rsidRPr="009C0388">
              <w:rPr>
                <w:rFonts w:ascii="Calibri" w:hAnsi="Calibri" w:cs="Calibri"/>
              </w:rPr>
              <w:t>Aoto et al., 2015</w:t>
            </w:r>
            <w:r w:rsidRPr="009C0388">
              <w:rPr>
                <w:rFonts w:cstheme="minorHAnsi"/>
              </w:rPr>
              <w:fldChar w:fldCharType="end"/>
            </w:r>
          </w:p>
        </w:tc>
      </w:tr>
      <w:tr w:rsidR="009301C3" w:rsidRPr="005613C7" w14:paraId="4F76EAD9" w14:textId="77777777" w:rsidTr="002C4FD3">
        <w:trPr>
          <w:trHeight w:val="269"/>
        </w:trPr>
        <w:tc>
          <w:tcPr>
            <w:tcW w:w="2250" w:type="dxa"/>
            <w:shd w:val="clear" w:color="auto" w:fill="9E86C9"/>
            <w:hideMark/>
          </w:tcPr>
          <w:p w14:paraId="04DCE6C0" w14:textId="77777777" w:rsidR="009301C3" w:rsidRPr="008365C8" w:rsidRDefault="009301C3" w:rsidP="00151941">
            <w:pPr>
              <w:rPr>
                <w:rFonts w:cstheme="minorHAnsi"/>
                <w:b/>
                <w:bCs/>
                <w:i/>
                <w:iCs/>
              </w:rPr>
            </w:pPr>
            <w:r w:rsidRPr="008365C8">
              <w:rPr>
                <w:rFonts w:cstheme="minorHAnsi"/>
                <w:b/>
                <w:bCs/>
                <w:i/>
                <w:iCs/>
              </w:rPr>
              <w:t>Vimentin</w:t>
            </w:r>
          </w:p>
        </w:tc>
        <w:tc>
          <w:tcPr>
            <w:tcW w:w="5271" w:type="dxa"/>
            <w:shd w:val="clear" w:color="auto" w:fill="9E86C9"/>
            <w:hideMark/>
          </w:tcPr>
          <w:p w14:paraId="298D0222" w14:textId="77777777" w:rsidR="009301C3" w:rsidRPr="009C0388" w:rsidRDefault="009301C3" w:rsidP="00151941">
            <w:pPr>
              <w:rPr>
                <w:rFonts w:cstheme="minorHAnsi"/>
              </w:rPr>
            </w:pPr>
            <w:r w:rsidRPr="009C0388">
              <w:rPr>
                <w:rFonts w:cstheme="minorHAnsi"/>
              </w:rPr>
              <w:t>MNCC (marker of mesenchymal cells)</w:t>
            </w:r>
          </w:p>
        </w:tc>
        <w:tc>
          <w:tcPr>
            <w:tcW w:w="3454" w:type="dxa"/>
            <w:shd w:val="clear" w:color="auto" w:fill="9E86C9"/>
            <w:hideMark/>
          </w:tcPr>
          <w:p w14:paraId="2197968A"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{"citationID":"LrtCbPNl","properties":{"formattedCitation":"(Kobayashi et al., 2020)","plainCitation":"(Kobayashi et al., 2020)","dontUpdate":true,"noteIndex":0},"citationItems":[{"id":143,"uris":["http://zotero.org/users/8063595/items/MNENVK7B"],"itemData":{"id":143,"type":"article-journal","abstract":"Neural crest cells (NCCs) contribute to several tissues during embryonic development. NCC formation depends on activation of tightly regulated molecular programs at the neural plate border (NPB) region, which initiate NCC specification and epithelial-to-mesenchymal transition (EMT). Although several approaches to investigate NCCs have been devised, these early events of NCC formation remain largely unknown in humans, and currently available cellular models have not investigated EMT. Here, we report that the E6 neural induction protocol converts human induced pluripotent stem cells into NPB-like cells (NBCs), from which NCCs can be efficiently derived. NBC-to-NCC induction recapitulates gene expression dynamics associated with NCC specification and EMT, including downregulation of NPB factors and upregulation of NCC specifiers, coupled with other EMT-associated cell-state changes, such as cadherin modulation and activation of TWIST1 and other EMT inducers. This strategy will be useful in future basic or translational research focusing on these early steps of NCC formation.","container-title":"Stem Cell Reports","DOI":"10.1016/j.stemcr.2020.07.023","ISSN":"2213-6711","issue":"3","journalAbbreviation":"Stem Cell Reports","language":"en","page":"776-788","source":"ScienceDirect","title":"Recapitulation of Neural Crest Specification and EMT via Induction from Neural Plate Border-like Cells","volume":"15","author":[{"family":"Kobayashi","given":"Gerson Shigeru"},{"family":"Musso","given":"Camila Manso"},{"family":"Moreira","given":"Danielle de Paula"},{"family":"Pontillo-Guimarães","given":"Giovanna"},{"family":"Hsia","given":"Gabriella Shih Ping"},{"family":"Caires-Júnior","given":"Luiz Carlos"},{"family":"Goulart","given":"Ernesto"},{"family":"Passos-Bueno","given":"Maria Rita"}],"issued":{"date-parts":[["2020",9,8]]}}}],"schema":"https://github.com/citation-style-language/schema/raw/master/csl-citation.json"} </w:instrText>
            </w:r>
            <w:r w:rsidRPr="009C0388">
              <w:rPr>
                <w:rFonts w:cstheme="minorHAnsi"/>
              </w:rPr>
              <w:fldChar w:fldCharType="separate"/>
            </w:r>
            <w:r w:rsidRPr="009C0388">
              <w:rPr>
                <w:rFonts w:ascii="Calibri" w:hAnsi="Calibri" w:cs="Calibri"/>
              </w:rPr>
              <w:t>Kobayashi et al., 2020</w:t>
            </w:r>
            <w:r w:rsidRPr="009C0388">
              <w:rPr>
                <w:rFonts w:cstheme="minorHAnsi"/>
              </w:rPr>
              <w:fldChar w:fldCharType="end"/>
            </w:r>
          </w:p>
        </w:tc>
      </w:tr>
      <w:tr w:rsidR="009301C3" w:rsidRPr="005613C7" w14:paraId="1816D28F" w14:textId="77777777" w:rsidTr="002C4FD3">
        <w:trPr>
          <w:trHeight w:val="260"/>
        </w:trPr>
        <w:tc>
          <w:tcPr>
            <w:tcW w:w="2250" w:type="dxa"/>
            <w:shd w:val="clear" w:color="auto" w:fill="9E86C9"/>
            <w:hideMark/>
          </w:tcPr>
          <w:p w14:paraId="201C61F2" w14:textId="77777777" w:rsidR="009301C3" w:rsidRPr="008365C8" w:rsidRDefault="009301C3" w:rsidP="00151941">
            <w:pPr>
              <w:rPr>
                <w:rFonts w:cstheme="minorHAnsi"/>
                <w:b/>
                <w:bCs/>
                <w:i/>
                <w:iCs/>
              </w:rPr>
            </w:pPr>
            <w:r w:rsidRPr="008365C8">
              <w:rPr>
                <w:rFonts w:cstheme="minorHAnsi"/>
                <w:b/>
                <w:bCs/>
                <w:i/>
                <w:iCs/>
              </w:rPr>
              <w:t>Sox10</w:t>
            </w:r>
          </w:p>
        </w:tc>
        <w:tc>
          <w:tcPr>
            <w:tcW w:w="5271" w:type="dxa"/>
            <w:shd w:val="clear" w:color="auto" w:fill="9E86C9"/>
            <w:hideMark/>
          </w:tcPr>
          <w:p w14:paraId="7BE655F4" w14:textId="77777777" w:rsidR="009301C3" w:rsidRPr="009C0388" w:rsidRDefault="009301C3" w:rsidP="00151941">
            <w:pPr>
              <w:rPr>
                <w:rFonts w:cstheme="minorHAnsi"/>
              </w:rPr>
            </w:pPr>
            <w:r w:rsidRPr="009C0388">
              <w:rPr>
                <w:rFonts w:cstheme="minorHAnsi"/>
              </w:rPr>
              <w:t>MNCC </w:t>
            </w:r>
          </w:p>
        </w:tc>
        <w:tc>
          <w:tcPr>
            <w:tcW w:w="3454" w:type="dxa"/>
            <w:shd w:val="clear" w:color="auto" w:fill="9E86C9"/>
            <w:hideMark/>
          </w:tcPr>
          <w:p w14:paraId="4E7C7810"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{"citationID":"gfzlu5N4","properties":{"formattedCitation":"(Hari et al., 2012)","plainCitation":"(Hari et al., 2012)","dontUpdate":true,"noteIndex":0},"citationItems":[{"id":575,"uris":["http://zotero.org/groups/4575477/items/KMJTWJUX"],"itemData":{"id":575,"type":"article-journal","abstract":"Wnt/β-catenin signaling controls multiple steps of neural crest development, ranging from neural crest induction, lineage decisions, to differentiation. In mice, conditional β-catenin inactivation in premigratory neural crest cells abolishes both sensory neuron and melanocyte formation. Intriguingly, the generation of melanocytes is also prevented by activation of β-catenin in the premigratory neural crest, which promotes sensory neurogenesis at the expense of other neural crest derivatives. This raises the question of how Wnt/β-catenin signaling regulates the formation of distinct lineages from the neural crest. Using various Cre lines to conditionally activate β-catenin in neural crest cells at different developmental stages, we show that neural crest cell fate decisions in vivo are subject to temporal control by Wnt/β-catenin. Unlike in premigratory neural crest, β-catenin activation in migratory neural crest cells promotes the formation of ectopic melanoblasts, while the production of most other lineages is suppressed. Ectopic melanoblasts emerge at sites of neural crest target structures and in many tissues usually devoid of neural crest-derived cells. β-catenin activation at later stages in glial progenitors or in melanoblasts does not lead to surplus melanoblasts, indicating a narrow time window of Wnt/β-catenin responsiveness during neural crest cell migration. Thus, neural crest cells appear to be multipotent in vivo both before and after emigration from the neural tube but adapt their response to extracellular signals in a temporally controlled manner.","container-title":"Development (Cambridge, England)","DOI":"10.1242/dev.073064","ISSN":"1477-9129","issue":"12","journalAbbreviation":"Development","language":"eng","note":"PMID: 22573620","page":"2107-2117","source":"PubMed","title":"Temporal control of neural crest lineage generation by Wnt/β-catenin signaling","volume":"139","author":[{"family":"Hari","given":"Lisette"},{"family":"Miescher","given":"Iris"},{"family":"Shakhova","given":"Olga"},{"family":"Suter","given":"Ueli"},{"family":"Chin","given":"Lynda"},{"family":"Taketo","given":"Makoto"},{"family":"Richardson","given":"William D."},{"family":"Kessaris","given":"Nicoletta"},{"family":"Sommer","given":"Lukas"}],"issued":{"date-parts":[["2012",6]]}}}],"schema":"https://github.com/citation-style-language/schema/raw/master/csl-citation.json"} </w:instrText>
            </w:r>
            <w:r w:rsidRPr="009C0388">
              <w:rPr>
                <w:rFonts w:cstheme="minorHAnsi"/>
              </w:rPr>
              <w:fldChar w:fldCharType="separate"/>
            </w:r>
            <w:r w:rsidRPr="009C0388">
              <w:rPr>
                <w:rFonts w:ascii="Calibri" w:hAnsi="Calibri" w:cs="Calibri"/>
              </w:rPr>
              <w:t>Hari et al., 2012</w:t>
            </w:r>
            <w:r w:rsidRPr="009C0388">
              <w:rPr>
                <w:rFonts w:cstheme="minorHAnsi"/>
              </w:rPr>
              <w:fldChar w:fldCharType="end"/>
            </w:r>
          </w:p>
        </w:tc>
      </w:tr>
      <w:tr w:rsidR="009301C3" w:rsidRPr="005613C7" w14:paraId="296559F3" w14:textId="77777777" w:rsidTr="002C4FD3">
        <w:trPr>
          <w:trHeight w:val="233"/>
        </w:trPr>
        <w:tc>
          <w:tcPr>
            <w:tcW w:w="2250" w:type="dxa"/>
            <w:shd w:val="clear" w:color="auto" w:fill="9E86C9"/>
            <w:hideMark/>
          </w:tcPr>
          <w:p w14:paraId="3E987C22" w14:textId="77777777" w:rsidR="009301C3" w:rsidRPr="008365C8" w:rsidRDefault="009301C3" w:rsidP="00151941">
            <w:pPr>
              <w:rPr>
                <w:rFonts w:cstheme="minorHAnsi"/>
                <w:b/>
                <w:bCs/>
                <w:i/>
                <w:iCs/>
              </w:rPr>
            </w:pPr>
            <w:r w:rsidRPr="008365C8">
              <w:rPr>
                <w:rFonts w:cstheme="minorHAnsi"/>
                <w:b/>
                <w:bCs/>
                <w:i/>
                <w:iCs/>
              </w:rPr>
              <w:t>Twist1</w:t>
            </w:r>
          </w:p>
        </w:tc>
        <w:tc>
          <w:tcPr>
            <w:tcW w:w="5271" w:type="dxa"/>
            <w:shd w:val="clear" w:color="auto" w:fill="9E86C9"/>
            <w:hideMark/>
          </w:tcPr>
          <w:p w14:paraId="7ADF096D" w14:textId="77777777" w:rsidR="009301C3" w:rsidRPr="009C0388" w:rsidRDefault="009301C3" w:rsidP="00151941">
            <w:pPr>
              <w:rPr>
                <w:rFonts w:cstheme="minorHAnsi"/>
              </w:rPr>
            </w:pPr>
            <w:r w:rsidRPr="009C0388">
              <w:rPr>
                <w:rFonts w:cstheme="minorHAnsi"/>
              </w:rPr>
              <w:t>MNCC </w:t>
            </w:r>
          </w:p>
        </w:tc>
        <w:tc>
          <w:tcPr>
            <w:tcW w:w="3454" w:type="dxa"/>
            <w:shd w:val="clear" w:color="auto" w:fill="9E86C9"/>
            <w:hideMark/>
          </w:tcPr>
          <w:p w14:paraId="59799C13" w14:textId="77777777" w:rsidR="009301C3" w:rsidRPr="009C0388" w:rsidRDefault="009301C3" w:rsidP="00151941">
            <w:pPr>
              <w:rPr>
                <w:rFonts w:cstheme="minorHAnsi"/>
              </w:rPr>
            </w:pPr>
            <w:r w:rsidRPr="009C0388">
              <w:rPr>
                <w:rFonts w:cstheme="minorHAnsi"/>
              </w:rPr>
              <w:fldChar w:fldCharType="begin"/>
            </w:r>
            <w:r>
              <w:rPr>
                <w:rFonts w:cstheme="minorHAnsi"/>
              </w:rPr>
              <w:instrText xml:space="preserve"> ADDIN ZOTERO_ITEM CSL_CITATION {"citationID":"omxGAJAf","properties":{"formattedCitation":"(Soo et al., 2002)","plainCitation":"(Soo et al., 2002)","dontUpdate":true,"noteIndex":0},"citationItems":[{"id":639,"uris":["http://zotero.org/groups/4575477/items/74INNNN6"],"itemData":{"id":639,"type":"article-journal","abstract":"Loss of Twist function in the cranial mesenchyme of the mouse embryo causes failure of closure of the cephalic neural tube and malformation of the branchial arches. In the Twist(-/-) embryo, the expression of molecular markers that signify dorsal forebrain tissues is either absent or reduced, but those associated with ventral tissues display expanded domains of expression. Dorsoventral organization of the mid- and hindbrain and the anterior-posterior pattern of the neural tube are not affected. In the Twist(-/-) embryo, neural crest cells stray from the subectodermal migratory path and the late-migrating subpopulation invades the cell-free zone separating streams of cells going to the first and second branchial arches. Cell transplantation studies reveal that Twist activity is required in the cranial mesenchyme for directing the migration of the neural crest cells, as well as in the neural crest cells within the first branchial arch to achieve correct localization. Twist is also required for the proper differentiation of the first arch tissues into bone, muscle, and teeth.","container-title":"Developmental Biology","DOI":"10.1006/dbio.2002.0699","ISSN":"0012-1606","issue":"2","journalAbbreviation":"Dev Biol","language":"eng","note":"PMID: 12086465","page":"251-270","source":"PubMed","title":"Twist function is required for the morphogenesis of the cephalic neural tube and the differentiation of the cranial neural crest cells in the mouse embryo","volume":"247","author":[{"family":"Soo","given":"Kenneth"},{"family":"O'Rourke","given":"Meredith P."},{"family":"Khoo","given":"Poh-Lynn"},{"family":"Steiner","given":"Kirsten A."},{"family":"Wong","given":"Nicole"},{"family":"Behringer","given":"Richard R."},{"family":"Tam","given":"Patrick P. L."}],"issued":{"date-parts":[["2002",7,15]]}}}],"schema":"https://github.com/citation-style-language/schema/raw/master/csl-citation.json"} </w:instrText>
            </w:r>
            <w:r w:rsidRPr="009C0388">
              <w:rPr>
                <w:rFonts w:cstheme="minorHAnsi"/>
              </w:rPr>
              <w:fldChar w:fldCharType="separate"/>
            </w:r>
            <w:r w:rsidRPr="009C0388">
              <w:rPr>
                <w:rFonts w:ascii="Calibri" w:hAnsi="Calibri" w:cs="Calibri"/>
              </w:rPr>
              <w:t>Soo et al., 2002</w:t>
            </w:r>
            <w:r w:rsidRPr="009C0388">
              <w:rPr>
                <w:rFonts w:cstheme="minorHAnsi"/>
              </w:rPr>
              <w:fldChar w:fldCharType="end"/>
            </w:r>
          </w:p>
        </w:tc>
      </w:tr>
    </w:tbl>
    <w:p w14:paraId="303878F9" w14:textId="77777777" w:rsidR="009301C3" w:rsidRPr="00F05D79" w:rsidRDefault="009301C3" w:rsidP="009301C3">
      <w:pPr>
        <w:rPr>
          <w:sz w:val="24"/>
          <w:szCs w:val="24"/>
        </w:rPr>
      </w:pPr>
    </w:p>
    <w:p w14:paraId="3AC63528" w14:textId="77777777" w:rsidR="009301C3" w:rsidRDefault="009301C3" w:rsidP="009301C3">
      <w:pPr>
        <w:spacing w:line="240" w:lineRule="auto"/>
      </w:pPr>
    </w:p>
    <w:p w14:paraId="60F221D6" w14:textId="77777777" w:rsidR="009301C3" w:rsidRDefault="009301C3" w:rsidP="009301C3">
      <w:pPr>
        <w:spacing w:line="240" w:lineRule="auto"/>
      </w:pPr>
    </w:p>
    <w:p w14:paraId="15D1B254" w14:textId="77777777" w:rsidR="009C1141" w:rsidRDefault="009C1141"/>
    <w:sectPr w:rsidR="009C1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C3"/>
    <w:rsid w:val="0005015F"/>
    <w:rsid w:val="002C4FD3"/>
    <w:rsid w:val="005C4D37"/>
    <w:rsid w:val="005F6805"/>
    <w:rsid w:val="00900E1C"/>
    <w:rsid w:val="009301C3"/>
    <w:rsid w:val="009C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5759"/>
  <w15:chartTrackingRefBased/>
  <w15:docId w15:val="{89071ACA-C401-46D2-B47E-F4DC9FCF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3"/>
    <w:rPr>
      <w:kern w:val="0"/>
      <w14:ligatures w14:val="none"/>
    </w:rPr>
  </w:style>
  <w:style w:type="paragraph" w:styleId="Heading1">
    <w:name w:val="heading 1"/>
    <w:basedOn w:val="Normal"/>
    <w:next w:val="Normal"/>
    <w:link w:val="Heading1Char"/>
    <w:uiPriority w:val="9"/>
    <w:qFormat/>
    <w:rsid w:val="009301C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01C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01C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01C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301C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301C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301C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301C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301C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1C3"/>
    <w:rPr>
      <w:rFonts w:eastAsiaTheme="majorEastAsia" w:cstheme="majorBidi"/>
      <w:color w:val="272727" w:themeColor="text1" w:themeTint="D8"/>
    </w:rPr>
  </w:style>
  <w:style w:type="paragraph" w:styleId="Title">
    <w:name w:val="Title"/>
    <w:basedOn w:val="Normal"/>
    <w:next w:val="Normal"/>
    <w:link w:val="TitleChar"/>
    <w:uiPriority w:val="10"/>
    <w:qFormat/>
    <w:rsid w:val="009301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0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1C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0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1C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301C3"/>
    <w:rPr>
      <w:i/>
      <w:iCs/>
      <w:color w:val="404040" w:themeColor="text1" w:themeTint="BF"/>
    </w:rPr>
  </w:style>
  <w:style w:type="paragraph" w:styleId="ListParagraph">
    <w:name w:val="List Paragraph"/>
    <w:basedOn w:val="Normal"/>
    <w:uiPriority w:val="34"/>
    <w:qFormat/>
    <w:rsid w:val="009301C3"/>
    <w:pPr>
      <w:ind w:left="720"/>
      <w:contextualSpacing/>
    </w:pPr>
    <w:rPr>
      <w:kern w:val="2"/>
      <w14:ligatures w14:val="standardContextual"/>
    </w:rPr>
  </w:style>
  <w:style w:type="character" w:styleId="IntenseEmphasis">
    <w:name w:val="Intense Emphasis"/>
    <w:basedOn w:val="DefaultParagraphFont"/>
    <w:uiPriority w:val="21"/>
    <w:qFormat/>
    <w:rsid w:val="009301C3"/>
    <w:rPr>
      <w:i/>
      <w:iCs/>
      <w:color w:val="0F4761" w:themeColor="accent1" w:themeShade="BF"/>
    </w:rPr>
  </w:style>
  <w:style w:type="paragraph" w:styleId="IntenseQuote">
    <w:name w:val="Intense Quote"/>
    <w:basedOn w:val="Normal"/>
    <w:next w:val="Normal"/>
    <w:link w:val="IntenseQuoteChar"/>
    <w:uiPriority w:val="30"/>
    <w:qFormat/>
    <w:rsid w:val="00930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301C3"/>
    <w:rPr>
      <w:i/>
      <w:iCs/>
      <w:color w:val="0F4761" w:themeColor="accent1" w:themeShade="BF"/>
    </w:rPr>
  </w:style>
  <w:style w:type="character" w:styleId="IntenseReference">
    <w:name w:val="Intense Reference"/>
    <w:basedOn w:val="DefaultParagraphFont"/>
    <w:uiPriority w:val="32"/>
    <w:qFormat/>
    <w:rsid w:val="009301C3"/>
    <w:rPr>
      <w:b/>
      <w:bCs/>
      <w:smallCaps/>
      <w:color w:val="0F4761" w:themeColor="accent1" w:themeShade="BF"/>
      <w:spacing w:val="5"/>
    </w:rPr>
  </w:style>
  <w:style w:type="table" w:styleId="TableGrid">
    <w:name w:val="Table Grid"/>
    <w:basedOn w:val="TableNormal"/>
    <w:uiPriority w:val="39"/>
    <w:rsid w:val="009301C3"/>
    <w:pPr>
      <w:spacing w:after="0" w:line="240" w:lineRule="auto"/>
    </w:pPr>
    <w:rPr>
      <w:rFonts w:eastAsiaTheme="minorEastAsia"/>
      <w:sz w:val="24"/>
      <w:szCs w:val="24"/>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6567</Words>
  <Characters>37437</Characters>
  <Application>Microsoft Office Word</Application>
  <DocSecurity>0</DocSecurity>
  <Lines>311</Lines>
  <Paragraphs>87</Paragraphs>
  <ScaleCrop>false</ScaleCrop>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Trainor, Paul</dc:creator>
  <cp:keywords/>
  <dc:description/>
  <cp:lastModifiedBy>Trainor, Paul</cp:lastModifiedBy>
  <cp:revision>3</cp:revision>
  <dcterms:created xsi:type="dcterms:W3CDTF">2024-04-22T14:13:00Z</dcterms:created>
  <dcterms:modified xsi:type="dcterms:W3CDTF">2024-04-23T15:41:00Z</dcterms:modified>
</cp:coreProperties>
</file>