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ECE" w:rsidRDefault="00D23ECE" w:rsidP="000D4F7A">
      <w:pPr>
        <w:jc w:val="both"/>
        <w:rPr>
          <w:rFonts w:ascii="Avenir Light" w:hAnsi="Avenir Light"/>
        </w:rPr>
      </w:pPr>
    </w:p>
    <w:p w:rsidR="00EB0D88" w:rsidRPr="00EB0D88" w:rsidRDefault="00EB0D88" w:rsidP="00EB0D88">
      <w:pPr>
        <w:jc w:val="both"/>
        <w:rPr>
          <w:rFonts w:ascii="Avenir Light" w:hAnsi="Avenir Light"/>
        </w:rPr>
      </w:pPr>
    </w:p>
    <w:tbl>
      <w:tblPr>
        <w:tblW w:w="9526" w:type="dxa"/>
        <w:tblInd w:w="97" w:type="dxa"/>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1886"/>
        <w:gridCol w:w="703"/>
        <w:gridCol w:w="777"/>
        <w:gridCol w:w="777"/>
        <w:gridCol w:w="777"/>
        <w:gridCol w:w="777"/>
        <w:gridCol w:w="777"/>
        <w:gridCol w:w="777"/>
        <w:gridCol w:w="777"/>
        <w:gridCol w:w="721"/>
        <w:gridCol w:w="777"/>
      </w:tblGrid>
      <w:tr w:rsidR="00EB0D88" w:rsidRPr="00922F42">
        <w:trPr>
          <w:trHeight w:val="300"/>
        </w:trPr>
        <w:tc>
          <w:tcPr>
            <w:tcW w:w="1886" w:type="dxa"/>
            <w:tcBorders>
              <w:bottom w:val="single" w:sz="6" w:space="0" w:color="008000"/>
            </w:tcBorders>
            <w:shd w:val="clear" w:color="auto" w:fill="auto"/>
            <w:noWrap/>
            <w:vAlign w:val="bottom"/>
          </w:tcPr>
          <w:p w:rsidR="00EB0D88" w:rsidRPr="00922F42" w:rsidRDefault="00EB0D88" w:rsidP="00922F42">
            <w:pPr>
              <w:rPr>
                <w:rFonts w:ascii="Calibri" w:hAnsi="Calibri"/>
              </w:rPr>
            </w:pPr>
            <w:r w:rsidRPr="00922F42">
              <w:rPr>
                <w:rFonts w:ascii="Calibri" w:hAnsi="Calibri"/>
              </w:rPr>
              <w:t>Generation</w:t>
            </w:r>
          </w:p>
        </w:tc>
        <w:tc>
          <w:tcPr>
            <w:tcW w:w="703"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3</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7</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10</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11</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12</w:t>
            </w:r>
          </w:p>
        </w:tc>
        <w:tc>
          <w:tcPr>
            <w:tcW w:w="721"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16</w:t>
            </w:r>
          </w:p>
        </w:tc>
        <w:tc>
          <w:tcPr>
            <w:tcW w:w="777" w:type="dxa"/>
            <w:tcBorders>
              <w:bottom w:val="single" w:sz="6" w:space="0" w:color="008000"/>
            </w:tcBorders>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17</w:t>
            </w:r>
          </w:p>
        </w:tc>
      </w:tr>
      <w:tr w:rsidR="00EB0D88" w:rsidRPr="00922F42">
        <w:trPr>
          <w:trHeight w:val="300"/>
        </w:trPr>
        <w:tc>
          <w:tcPr>
            <w:tcW w:w="1886" w:type="dxa"/>
            <w:tcBorders>
              <w:top w:val="single" w:sz="6" w:space="0" w:color="008000"/>
            </w:tcBorders>
            <w:shd w:val="clear" w:color="auto" w:fill="auto"/>
            <w:noWrap/>
            <w:vAlign w:val="bottom"/>
          </w:tcPr>
          <w:p w:rsidR="00EB0D88" w:rsidRPr="00922F42" w:rsidRDefault="00EB0D88" w:rsidP="00922F42">
            <w:pPr>
              <w:rPr>
                <w:rFonts w:ascii="Calibri" w:hAnsi="Calibri"/>
              </w:rPr>
            </w:pPr>
            <w:r w:rsidRPr="00922F42">
              <w:rPr>
                <w:rFonts w:ascii="Calibri" w:hAnsi="Calibri"/>
              </w:rPr>
              <w:t>N=</w:t>
            </w:r>
          </w:p>
        </w:tc>
        <w:tc>
          <w:tcPr>
            <w:tcW w:w="703" w:type="dxa"/>
            <w:tcBorders>
              <w:top w:val="single" w:sz="6" w:space="0" w:color="008000"/>
            </w:tcBorders>
            <w:shd w:val="clear" w:color="auto" w:fill="auto"/>
            <w:noWrap/>
            <w:vAlign w:val="bottom"/>
          </w:tcPr>
          <w:p w:rsidR="00EB0D88" w:rsidRPr="00922F42" w:rsidRDefault="00EB0D88" w:rsidP="00DE73A8">
            <w:pPr>
              <w:jc w:val="right"/>
              <w:rPr>
                <w:rFonts w:ascii="Calibri" w:hAnsi="Calibri"/>
              </w:rPr>
            </w:pPr>
            <w:r w:rsidRPr="00922F42">
              <w:rPr>
                <w:rFonts w:ascii="Calibri" w:hAnsi="Calibri"/>
              </w:rPr>
              <w:t>3</w:t>
            </w:r>
            <w:r>
              <w:rPr>
                <w:rFonts w:ascii="Calibri" w:hAnsi="Calibri"/>
              </w:rPr>
              <w:t>653</w:t>
            </w:r>
          </w:p>
        </w:tc>
        <w:tc>
          <w:tcPr>
            <w:tcW w:w="777" w:type="dxa"/>
            <w:tcBorders>
              <w:top w:val="single" w:sz="6" w:space="0" w:color="008000"/>
            </w:tcBorders>
            <w:shd w:val="clear" w:color="auto" w:fill="auto"/>
            <w:noWrap/>
            <w:vAlign w:val="bottom"/>
          </w:tcPr>
          <w:p w:rsidR="00EB0D88" w:rsidRPr="00922F42" w:rsidRDefault="00EB0D88" w:rsidP="00DE73A8">
            <w:pPr>
              <w:jc w:val="right"/>
              <w:rPr>
                <w:rFonts w:ascii="Calibri" w:hAnsi="Calibri"/>
              </w:rPr>
            </w:pPr>
            <w:r w:rsidRPr="00922F42">
              <w:rPr>
                <w:rFonts w:ascii="Calibri" w:hAnsi="Calibri"/>
              </w:rPr>
              <w:t>1</w:t>
            </w:r>
            <w:r>
              <w:rPr>
                <w:rFonts w:ascii="Calibri" w:hAnsi="Calibri"/>
              </w:rPr>
              <w:t>714</w:t>
            </w:r>
          </w:p>
        </w:tc>
        <w:tc>
          <w:tcPr>
            <w:tcW w:w="777" w:type="dxa"/>
            <w:tcBorders>
              <w:top w:val="single" w:sz="6" w:space="0" w:color="008000"/>
            </w:tcBorders>
            <w:shd w:val="clear" w:color="auto" w:fill="auto"/>
            <w:noWrap/>
            <w:vAlign w:val="bottom"/>
          </w:tcPr>
          <w:p w:rsidR="00EB0D88" w:rsidRPr="00922F42" w:rsidRDefault="00EB0D88" w:rsidP="00DE73A8">
            <w:pPr>
              <w:jc w:val="right"/>
              <w:rPr>
                <w:rFonts w:ascii="Calibri" w:hAnsi="Calibri"/>
              </w:rPr>
            </w:pPr>
            <w:r w:rsidRPr="00922F42">
              <w:rPr>
                <w:rFonts w:ascii="Calibri" w:hAnsi="Calibri"/>
              </w:rPr>
              <w:t>1</w:t>
            </w:r>
            <w:r>
              <w:rPr>
                <w:rFonts w:ascii="Calibri" w:hAnsi="Calibri"/>
              </w:rPr>
              <w:t>222</w:t>
            </w:r>
          </w:p>
        </w:tc>
        <w:tc>
          <w:tcPr>
            <w:tcW w:w="777" w:type="dxa"/>
            <w:tcBorders>
              <w:top w:val="single" w:sz="6" w:space="0" w:color="008000"/>
            </w:tcBorders>
            <w:shd w:val="clear" w:color="auto" w:fill="auto"/>
            <w:noWrap/>
            <w:vAlign w:val="bottom"/>
          </w:tcPr>
          <w:p w:rsidR="00EB0D88" w:rsidRPr="00922F42" w:rsidRDefault="00EB0D88" w:rsidP="00922F42">
            <w:pPr>
              <w:jc w:val="right"/>
              <w:rPr>
                <w:rFonts w:ascii="Calibri" w:hAnsi="Calibri"/>
              </w:rPr>
            </w:pPr>
            <w:r>
              <w:rPr>
                <w:rFonts w:ascii="Calibri" w:hAnsi="Calibri"/>
              </w:rPr>
              <w:t>1975</w:t>
            </w:r>
          </w:p>
        </w:tc>
        <w:tc>
          <w:tcPr>
            <w:tcW w:w="777" w:type="dxa"/>
            <w:tcBorders>
              <w:top w:val="single" w:sz="6" w:space="0" w:color="008000"/>
            </w:tcBorders>
            <w:shd w:val="clear" w:color="auto" w:fill="auto"/>
            <w:noWrap/>
            <w:vAlign w:val="bottom"/>
          </w:tcPr>
          <w:p w:rsidR="00EB0D88" w:rsidRPr="00922F42" w:rsidRDefault="00EB0D88" w:rsidP="00922F42">
            <w:pPr>
              <w:jc w:val="right"/>
              <w:rPr>
                <w:rFonts w:ascii="Calibri" w:hAnsi="Calibri"/>
              </w:rPr>
            </w:pPr>
            <w:r>
              <w:rPr>
                <w:rFonts w:ascii="Calibri" w:hAnsi="Calibri"/>
              </w:rPr>
              <w:t>2273</w:t>
            </w:r>
          </w:p>
        </w:tc>
        <w:tc>
          <w:tcPr>
            <w:tcW w:w="777" w:type="dxa"/>
            <w:tcBorders>
              <w:top w:val="single" w:sz="6" w:space="0" w:color="008000"/>
            </w:tcBorders>
            <w:shd w:val="clear" w:color="auto" w:fill="auto"/>
            <w:noWrap/>
            <w:vAlign w:val="bottom"/>
          </w:tcPr>
          <w:p w:rsidR="00EB0D88" w:rsidRPr="00922F42" w:rsidRDefault="00EB0D88" w:rsidP="00922F42">
            <w:pPr>
              <w:jc w:val="right"/>
              <w:rPr>
                <w:rFonts w:ascii="Calibri" w:hAnsi="Calibri"/>
              </w:rPr>
            </w:pPr>
            <w:r>
              <w:rPr>
                <w:rFonts w:ascii="Calibri" w:hAnsi="Calibri"/>
              </w:rPr>
              <w:t>6852</w:t>
            </w:r>
          </w:p>
        </w:tc>
        <w:tc>
          <w:tcPr>
            <w:tcW w:w="777" w:type="dxa"/>
            <w:tcBorders>
              <w:top w:val="single" w:sz="6" w:space="0" w:color="008000"/>
            </w:tcBorders>
            <w:shd w:val="clear" w:color="auto" w:fill="auto"/>
            <w:noWrap/>
            <w:vAlign w:val="bottom"/>
          </w:tcPr>
          <w:p w:rsidR="00EB0D88" w:rsidRPr="00922F42" w:rsidRDefault="00EB0D88" w:rsidP="00922F42">
            <w:pPr>
              <w:jc w:val="right"/>
              <w:rPr>
                <w:rFonts w:ascii="Calibri" w:hAnsi="Calibri"/>
              </w:rPr>
            </w:pPr>
            <w:r>
              <w:rPr>
                <w:rFonts w:ascii="Calibri" w:hAnsi="Calibri"/>
              </w:rPr>
              <w:t>9153</w:t>
            </w:r>
          </w:p>
        </w:tc>
        <w:tc>
          <w:tcPr>
            <w:tcW w:w="777" w:type="dxa"/>
            <w:tcBorders>
              <w:top w:val="single" w:sz="6" w:space="0" w:color="008000"/>
            </w:tcBorders>
            <w:shd w:val="clear" w:color="auto" w:fill="auto"/>
            <w:noWrap/>
            <w:vAlign w:val="bottom"/>
          </w:tcPr>
          <w:p w:rsidR="00EB0D88" w:rsidRPr="00922F42" w:rsidRDefault="00EB0D88" w:rsidP="00DE73A8">
            <w:pPr>
              <w:jc w:val="right"/>
              <w:rPr>
                <w:rFonts w:ascii="Calibri" w:hAnsi="Calibri"/>
              </w:rPr>
            </w:pPr>
            <w:r w:rsidRPr="00922F42">
              <w:rPr>
                <w:rFonts w:ascii="Calibri" w:hAnsi="Calibri"/>
              </w:rPr>
              <w:t>2</w:t>
            </w:r>
            <w:r>
              <w:rPr>
                <w:rFonts w:ascii="Calibri" w:hAnsi="Calibri"/>
              </w:rPr>
              <w:t>810</w:t>
            </w:r>
          </w:p>
        </w:tc>
        <w:tc>
          <w:tcPr>
            <w:tcW w:w="721" w:type="dxa"/>
            <w:tcBorders>
              <w:top w:val="single" w:sz="6" w:space="0" w:color="008000"/>
            </w:tcBorders>
            <w:shd w:val="clear" w:color="auto" w:fill="auto"/>
            <w:noWrap/>
            <w:vAlign w:val="bottom"/>
          </w:tcPr>
          <w:p w:rsidR="00EB0D88" w:rsidRPr="00922F42" w:rsidRDefault="00EB0D88" w:rsidP="00922F42">
            <w:pPr>
              <w:jc w:val="right"/>
              <w:rPr>
                <w:rFonts w:ascii="Calibri" w:hAnsi="Calibri"/>
              </w:rPr>
            </w:pPr>
            <w:r>
              <w:rPr>
                <w:rFonts w:ascii="Calibri" w:hAnsi="Calibri"/>
              </w:rPr>
              <w:t>522</w:t>
            </w:r>
          </w:p>
        </w:tc>
        <w:tc>
          <w:tcPr>
            <w:tcW w:w="777" w:type="dxa"/>
            <w:tcBorders>
              <w:top w:val="single" w:sz="6" w:space="0" w:color="008000"/>
            </w:tcBorders>
            <w:shd w:val="clear" w:color="auto" w:fill="auto"/>
            <w:noWrap/>
            <w:vAlign w:val="bottom"/>
          </w:tcPr>
          <w:p w:rsidR="00EB0D88" w:rsidRPr="00922F42" w:rsidRDefault="00EB0D88" w:rsidP="00DE73A8">
            <w:pPr>
              <w:jc w:val="right"/>
              <w:rPr>
                <w:rFonts w:ascii="Calibri" w:hAnsi="Calibri"/>
              </w:rPr>
            </w:pPr>
            <w:r w:rsidRPr="00922F42">
              <w:rPr>
                <w:rFonts w:ascii="Calibri" w:hAnsi="Calibri"/>
              </w:rPr>
              <w:t>4</w:t>
            </w:r>
            <w:r>
              <w:rPr>
                <w:rFonts w:ascii="Calibri" w:hAnsi="Calibri"/>
              </w:rPr>
              <w:t>335</w:t>
            </w:r>
          </w:p>
        </w:tc>
      </w:tr>
      <w:tr w:rsidR="00EB0D88" w:rsidRPr="00922F42">
        <w:trPr>
          <w:trHeight w:val="430"/>
        </w:trPr>
        <w:tc>
          <w:tcPr>
            <w:tcW w:w="1886" w:type="dxa"/>
            <w:shd w:val="clear" w:color="auto" w:fill="auto"/>
            <w:noWrap/>
            <w:vAlign w:val="bottom"/>
          </w:tcPr>
          <w:p w:rsidR="00EB0D88" w:rsidRPr="00922F42" w:rsidRDefault="00EB0D88" w:rsidP="00922F42">
            <w:pPr>
              <w:rPr>
                <w:rFonts w:ascii="Calibri" w:hAnsi="Calibri"/>
              </w:rPr>
            </w:pPr>
            <w:r w:rsidRPr="00922F42">
              <w:rPr>
                <w:rFonts w:ascii="Calibri" w:hAnsi="Calibri"/>
              </w:rPr>
              <w:t>% Homozygotes</w:t>
            </w:r>
          </w:p>
        </w:tc>
        <w:tc>
          <w:tcPr>
            <w:tcW w:w="703"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24,5</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19,0</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22,4</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20,4</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14,1</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7,4</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7,8</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5,4</w:t>
            </w:r>
          </w:p>
        </w:tc>
        <w:tc>
          <w:tcPr>
            <w:tcW w:w="721"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0,7</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1,1</w:t>
            </w:r>
          </w:p>
        </w:tc>
      </w:tr>
      <w:tr w:rsidR="00EB0D88" w:rsidRPr="00922F42">
        <w:trPr>
          <w:trHeight w:val="300"/>
        </w:trPr>
        <w:tc>
          <w:tcPr>
            <w:tcW w:w="1886" w:type="dxa"/>
            <w:shd w:val="clear" w:color="auto" w:fill="auto"/>
            <w:noWrap/>
            <w:vAlign w:val="bottom"/>
          </w:tcPr>
          <w:p w:rsidR="00EB0D88" w:rsidRPr="00922F42" w:rsidRDefault="00EB0D88" w:rsidP="00922F42">
            <w:pPr>
              <w:rPr>
                <w:rFonts w:ascii="Calibri" w:hAnsi="Calibri"/>
              </w:rPr>
            </w:pPr>
            <w:r w:rsidRPr="00922F42">
              <w:rPr>
                <w:rFonts w:ascii="Calibri" w:hAnsi="Calibri"/>
              </w:rPr>
              <w:t>% Heterozygotes</w:t>
            </w:r>
          </w:p>
        </w:tc>
        <w:tc>
          <w:tcPr>
            <w:tcW w:w="703"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49,1</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53,9</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46,4</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46,2</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47,8</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42,9</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39,3</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39,5</w:t>
            </w:r>
          </w:p>
        </w:tc>
        <w:tc>
          <w:tcPr>
            <w:tcW w:w="721"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21,2</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20,5</w:t>
            </w:r>
          </w:p>
        </w:tc>
      </w:tr>
      <w:tr w:rsidR="00EB0D88" w:rsidRPr="00922F42">
        <w:trPr>
          <w:trHeight w:val="300"/>
        </w:trPr>
        <w:tc>
          <w:tcPr>
            <w:tcW w:w="1886" w:type="dxa"/>
            <w:shd w:val="clear" w:color="auto" w:fill="auto"/>
            <w:noWrap/>
            <w:vAlign w:val="bottom"/>
          </w:tcPr>
          <w:p w:rsidR="00EB0D88" w:rsidRPr="00922F42" w:rsidRDefault="00EB0D88" w:rsidP="00922F42">
            <w:pPr>
              <w:rPr>
                <w:rFonts w:ascii="Calibri" w:hAnsi="Calibri"/>
              </w:rPr>
            </w:pPr>
            <w:r w:rsidRPr="00922F42">
              <w:rPr>
                <w:rFonts w:ascii="Calibri" w:hAnsi="Calibri"/>
              </w:rPr>
              <w:t>% Negatives</w:t>
            </w:r>
          </w:p>
        </w:tc>
        <w:tc>
          <w:tcPr>
            <w:tcW w:w="703"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26,4</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27,1</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31,2</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33,4</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38,1</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49,7</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53,0</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55,1</w:t>
            </w:r>
          </w:p>
        </w:tc>
        <w:tc>
          <w:tcPr>
            <w:tcW w:w="721"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78,1</w:t>
            </w:r>
          </w:p>
        </w:tc>
        <w:tc>
          <w:tcPr>
            <w:tcW w:w="777" w:type="dxa"/>
            <w:shd w:val="clear" w:color="auto" w:fill="auto"/>
            <w:noWrap/>
            <w:vAlign w:val="bottom"/>
          </w:tcPr>
          <w:p w:rsidR="00EB0D88" w:rsidRPr="00922F42" w:rsidRDefault="00EB0D88" w:rsidP="00922F42">
            <w:pPr>
              <w:jc w:val="right"/>
              <w:rPr>
                <w:rFonts w:ascii="Calibri" w:hAnsi="Calibri"/>
              </w:rPr>
            </w:pPr>
            <w:r w:rsidRPr="00922F42">
              <w:rPr>
                <w:rFonts w:ascii="Calibri" w:hAnsi="Calibri"/>
              </w:rPr>
              <w:t>78,3</w:t>
            </w:r>
          </w:p>
        </w:tc>
      </w:tr>
      <w:tr w:rsidR="00EB0D88" w:rsidRPr="00922F42">
        <w:trPr>
          <w:trHeight w:val="300"/>
        </w:trPr>
        <w:tc>
          <w:tcPr>
            <w:tcW w:w="1886" w:type="dxa"/>
            <w:shd w:val="clear" w:color="auto" w:fill="auto"/>
            <w:noWrap/>
            <w:vAlign w:val="bottom"/>
          </w:tcPr>
          <w:p w:rsidR="00EB0D88" w:rsidRPr="00922F42" w:rsidRDefault="00EB0D88" w:rsidP="00922F42">
            <w:pPr>
              <w:rPr>
                <w:rFonts w:ascii="Calibri" w:hAnsi="Calibri"/>
              </w:rPr>
            </w:pPr>
            <w:proofErr w:type="spellStart"/>
            <w:r>
              <w:rPr>
                <w:rFonts w:ascii="Calibri" w:hAnsi="Calibri"/>
              </w:rPr>
              <w:t>Tsg</w:t>
            </w:r>
            <w:proofErr w:type="spellEnd"/>
            <w:r>
              <w:rPr>
                <w:rFonts w:ascii="Calibri" w:hAnsi="Calibri"/>
              </w:rPr>
              <w:t xml:space="preserve"> frequency</w:t>
            </w:r>
          </w:p>
        </w:tc>
        <w:tc>
          <w:tcPr>
            <w:tcW w:w="703" w:type="dxa"/>
            <w:shd w:val="clear" w:color="auto" w:fill="auto"/>
            <w:noWrap/>
            <w:vAlign w:val="bottom"/>
          </w:tcPr>
          <w:p w:rsidR="00EB0D88" w:rsidRPr="00922F42" w:rsidRDefault="00EB0D88" w:rsidP="00922F42">
            <w:pPr>
              <w:jc w:val="right"/>
              <w:rPr>
                <w:rFonts w:ascii="Calibri" w:hAnsi="Calibri"/>
              </w:rPr>
            </w:pPr>
            <w:r>
              <w:rPr>
                <w:rFonts w:ascii="Calibri" w:hAnsi="Calibri"/>
              </w:rPr>
              <w:t>0,49</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0,46</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0,46</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0,44</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0,38</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0,29</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0,27</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0,25</w:t>
            </w:r>
          </w:p>
        </w:tc>
        <w:tc>
          <w:tcPr>
            <w:tcW w:w="721" w:type="dxa"/>
            <w:shd w:val="clear" w:color="auto" w:fill="auto"/>
            <w:noWrap/>
            <w:vAlign w:val="bottom"/>
          </w:tcPr>
          <w:p w:rsidR="00EB0D88" w:rsidRPr="00922F42" w:rsidRDefault="00EB0D88" w:rsidP="00922F42">
            <w:pPr>
              <w:jc w:val="right"/>
              <w:rPr>
                <w:rFonts w:ascii="Calibri" w:hAnsi="Calibri"/>
              </w:rPr>
            </w:pPr>
            <w:r>
              <w:rPr>
                <w:rFonts w:ascii="Calibri" w:hAnsi="Calibri"/>
              </w:rPr>
              <w:t>0,11</w:t>
            </w:r>
          </w:p>
        </w:tc>
        <w:tc>
          <w:tcPr>
            <w:tcW w:w="777" w:type="dxa"/>
            <w:shd w:val="clear" w:color="auto" w:fill="auto"/>
            <w:noWrap/>
            <w:vAlign w:val="bottom"/>
          </w:tcPr>
          <w:p w:rsidR="00EB0D88" w:rsidRPr="00922F42" w:rsidRDefault="00EB0D88" w:rsidP="00922F42">
            <w:pPr>
              <w:jc w:val="right"/>
              <w:rPr>
                <w:rFonts w:ascii="Calibri" w:hAnsi="Calibri"/>
              </w:rPr>
            </w:pPr>
            <w:r>
              <w:rPr>
                <w:rFonts w:ascii="Calibri" w:hAnsi="Calibri"/>
              </w:rPr>
              <w:t>0,11</w:t>
            </w:r>
          </w:p>
        </w:tc>
      </w:tr>
    </w:tbl>
    <w:p w:rsidR="00EB0D88" w:rsidRDefault="00EB0D88" w:rsidP="00EB0D88">
      <w:pPr>
        <w:jc w:val="both"/>
        <w:rPr>
          <w:rFonts w:ascii="Avenir Light" w:hAnsi="Avenir Light"/>
        </w:rPr>
      </w:pPr>
    </w:p>
    <w:p w:rsidR="00EB0D88" w:rsidRDefault="00254AC3" w:rsidP="00EB0D88">
      <w:pPr>
        <w:jc w:val="both"/>
        <w:rPr>
          <w:rFonts w:ascii="Avenir Light" w:hAnsi="Avenir Light"/>
        </w:rPr>
      </w:pPr>
      <w:r w:rsidRPr="00EB0D88">
        <w:rPr>
          <w:rFonts w:ascii="Avenir Light" w:hAnsi="Avenir Light"/>
          <w:b/>
        </w:rPr>
        <w:t>Supplementa</w:t>
      </w:r>
      <w:r w:rsidR="004E049B">
        <w:rPr>
          <w:rFonts w:ascii="Avenir Light" w:hAnsi="Avenir Light"/>
          <w:b/>
        </w:rPr>
        <w:t>ry</w:t>
      </w:r>
      <w:r w:rsidRPr="00EB0D88">
        <w:rPr>
          <w:rFonts w:ascii="Avenir Light" w:hAnsi="Avenir Light"/>
          <w:b/>
        </w:rPr>
        <w:t xml:space="preserve"> </w:t>
      </w:r>
      <w:r w:rsidR="0013404B">
        <w:rPr>
          <w:rFonts w:ascii="Avenir Light" w:hAnsi="Avenir Light"/>
          <w:b/>
        </w:rPr>
        <w:t>File 2</w:t>
      </w:r>
      <w:r w:rsidRPr="00EB0D88">
        <w:rPr>
          <w:rFonts w:ascii="Avenir Light" w:hAnsi="Avenir Light"/>
          <w:b/>
        </w:rPr>
        <w:t xml:space="preserve">: Tracking the evolution dynamics of </w:t>
      </w:r>
      <w:proofErr w:type="spellStart"/>
      <w:r w:rsidRPr="00EB0D88">
        <w:rPr>
          <w:rFonts w:ascii="Avenir Light" w:hAnsi="Avenir Light"/>
          <w:b/>
          <w:i/>
        </w:rPr>
        <w:t>Lp</w:t>
      </w:r>
      <w:proofErr w:type="spellEnd"/>
      <w:r w:rsidRPr="00EB0D88">
        <w:rPr>
          <w:rFonts w:ascii="Avenir Light" w:hAnsi="Avenir Light"/>
          <w:b/>
          <w:i/>
        </w:rPr>
        <w:t>::Sc2A10</w:t>
      </w:r>
      <w:r w:rsidRPr="00EB0D88">
        <w:rPr>
          <w:rFonts w:ascii="Avenir Light" w:hAnsi="Avenir Light"/>
          <w:b/>
        </w:rPr>
        <w:t xml:space="preserve"> transgene frequency</w:t>
      </w:r>
      <w:r w:rsidRPr="00EB0D88">
        <w:rPr>
          <w:rFonts w:ascii="Avenir Light" w:hAnsi="Avenir Light"/>
        </w:rPr>
        <w:t xml:space="preserve">. A parental cage was assembled containing only heterozygous transgenic mosquitoes (G0, transgene frequency =50%). Neonate larvae of subsequent generations except G5, 6, 8, 9 (N indicates the number of larvae </w:t>
      </w:r>
      <w:proofErr w:type="spellStart"/>
      <w:r w:rsidRPr="00EB0D88">
        <w:rPr>
          <w:rFonts w:ascii="Avenir Light" w:hAnsi="Avenir Light"/>
        </w:rPr>
        <w:t>analysed</w:t>
      </w:r>
      <w:proofErr w:type="spellEnd"/>
      <w:r w:rsidRPr="00EB0D88">
        <w:rPr>
          <w:rFonts w:ascii="Avenir Light" w:hAnsi="Avenir Light"/>
        </w:rPr>
        <w:t>) were analyzed using COPAS flow cytometry. Gates were drawn on COPAS diagrams around clouds of larvae corresponding to homozygous, heterozygous and negative individuals according to the intensity of GFP fluorescence, and the corresponding percentage of objects in each gate was recorded. Percentages were corrected to exclude objects not corresponding to larvae. Transgene frequency per 100 chromosomes dropped from 50% in G0 to 11.35% in G17, an average loss of 2.3% per generation.</w:t>
      </w:r>
    </w:p>
    <w:sectPr w:rsidR="00EB0D88" w:rsidSect="000D4F7A">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D4F7A"/>
    <w:rsid w:val="000D4F7A"/>
    <w:rsid w:val="0013404B"/>
    <w:rsid w:val="00254AC3"/>
    <w:rsid w:val="00352081"/>
    <w:rsid w:val="00477404"/>
    <w:rsid w:val="004A05AC"/>
    <w:rsid w:val="004E049B"/>
    <w:rsid w:val="007D5412"/>
    <w:rsid w:val="00853243"/>
    <w:rsid w:val="00B05737"/>
    <w:rsid w:val="00BE605F"/>
    <w:rsid w:val="00D23ECE"/>
    <w:rsid w:val="00EB0D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1A5BC397"/>
  <w15:docId w15:val="{76C2EE5E-43AE-5143-8A9D-E7653E71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4F7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10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Marois</dc:creator>
  <cp:keywords/>
  <cp:lastModifiedBy>Eric Marois</cp:lastModifiedBy>
  <cp:revision>11</cp:revision>
  <dcterms:created xsi:type="dcterms:W3CDTF">2022-07-07T14:56:00Z</dcterms:created>
  <dcterms:modified xsi:type="dcterms:W3CDTF">2023-11-22T15:05:00Z</dcterms:modified>
</cp:coreProperties>
</file>