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978" w:rsidRPr="009C7C69" w:rsidRDefault="00807978" w:rsidP="00807978">
      <w:pPr>
        <w:jc w:val="both"/>
        <w:rPr>
          <w:rFonts w:ascii="Avenir Light" w:hAnsi="Avenir Light"/>
          <w:sz w:val="20"/>
        </w:rPr>
      </w:pPr>
    </w:p>
    <w:tbl>
      <w:tblPr>
        <w:tblStyle w:val="TableGrid"/>
        <w:tblW w:w="776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169"/>
        <w:gridCol w:w="1984"/>
        <w:gridCol w:w="1354"/>
        <w:gridCol w:w="1697"/>
        <w:gridCol w:w="1559"/>
      </w:tblGrid>
      <w:tr w:rsidR="00807978" w:rsidRPr="003F62E8" w:rsidTr="00D73E77">
        <w:tc>
          <w:tcPr>
            <w:tcW w:w="1169" w:type="dxa"/>
            <w:tcBorders>
              <w:bottom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 w:rsidRPr="003F62E8">
              <w:rPr>
                <w:rFonts w:asciiTheme="majorHAnsi" w:hAnsiTheme="majorHAnsi"/>
              </w:rPr>
              <w:t>Replicate</w:t>
            </w:r>
          </w:p>
        </w:tc>
        <w:tc>
          <w:tcPr>
            <w:tcW w:w="1984" w:type="dxa"/>
            <w:tcBorders>
              <w:bottom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 w:rsidRPr="003F62E8">
              <w:rPr>
                <w:rFonts w:asciiTheme="majorHAnsi" w:hAnsiTheme="majorHAnsi"/>
              </w:rPr>
              <w:t xml:space="preserve">Number of </w:t>
            </w:r>
            <w:proofErr w:type="spellStart"/>
            <w:r w:rsidRPr="003F62E8">
              <w:rPr>
                <w:rFonts w:asciiTheme="majorHAnsi" w:hAnsiTheme="majorHAnsi"/>
              </w:rPr>
              <w:t>tsg</w:t>
            </w:r>
            <w:proofErr w:type="spellEnd"/>
            <w:r w:rsidRPr="003F62E8">
              <w:rPr>
                <w:rFonts w:asciiTheme="majorHAnsi" w:hAnsiTheme="majorHAnsi"/>
              </w:rPr>
              <w:t xml:space="preserve"> </w:t>
            </w:r>
            <w:r w:rsidRPr="003F62E8">
              <w:rPr>
                <w:rFonts w:ascii="Times New Roman" w:hAnsi="Times New Roman" w:cs="Times New Roman"/>
              </w:rPr>
              <w:t>♀</w:t>
            </w:r>
            <w:r w:rsidRPr="003F62E8">
              <w:rPr>
                <w:rFonts w:asciiTheme="majorHAnsi" w:hAnsiTheme="majorHAnsi"/>
              </w:rPr>
              <w:t xml:space="preserve"> </w:t>
            </w:r>
            <w:proofErr w:type="gramStart"/>
            <w:r w:rsidRPr="003F62E8">
              <w:rPr>
                <w:rFonts w:asciiTheme="majorHAnsi" w:hAnsiTheme="majorHAnsi"/>
              </w:rPr>
              <w:t>+  WT</w:t>
            </w:r>
            <w:proofErr w:type="gramEnd"/>
            <w:r w:rsidRPr="003F62E8">
              <w:rPr>
                <w:rFonts w:asciiTheme="majorHAnsi" w:hAnsiTheme="majorHAnsi"/>
              </w:rPr>
              <w:t xml:space="preserve"> </w:t>
            </w:r>
            <w:r w:rsidRPr="003F62E8">
              <w:rPr>
                <w:rFonts w:ascii="Times New Roman" w:hAnsi="Times New Roman" w:cs="Times New Roman"/>
              </w:rPr>
              <w:t>♀</w:t>
            </w:r>
            <w:r>
              <w:rPr>
                <w:rFonts w:ascii="Times New Roman" w:hAnsi="Times New Roman" w:cs="Times New Roman"/>
              </w:rPr>
              <w:t xml:space="preserve"> in cage</w:t>
            </w:r>
          </w:p>
        </w:tc>
        <w:tc>
          <w:tcPr>
            <w:tcW w:w="1354" w:type="dxa"/>
            <w:tcBorders>
              <w:bottom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 w:rsidRPr="003F62E8">
              <w:rPr>
                <w:rFonts w:asciiTheme="majorHAnsi" w:hAnsiTheme="majorHAnsi"/>
              </w:rPr>
              <w:t xml:space="preserve">Number of WT </w:t>
            </w:r>
            <w:r w:rsidRPr="003F62E8">
              <w:rPr>
                <w:rFonts w:ascii="Times New Roman" w:hAnsi="Times New Roman" w:cs="Times New Roman"/>
              </w:rPr>
              <w:t>♂</w:t>
            </w:r>
          </w:p>
        </w:tc>
        <w:tc>
          <w:tcPr>
            <w:tcW w:w="1697" w:type="dxa"/>
            <w:tcBorders>
              <w:bottom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</w:t>
            </w:r>
            <w:r w:rsidRPr="003F62E8">
              <w:rPr>
                <w:rFonts w:asciiTheme="majorHAnsi" w:hAnsiTheme="majorHAnsi"/>
              </w:rPr>
              <w:t xml:space="preserve"> of GFP</w:t>
            </w:r>
            <w:r w:rsidRPr="003F62E8">
              <w:rPr>
                <w:rFonts w:asciiTheme="majorHAnsi" w:hAnsiTheme="majorHAnsi"/>
                <w:vertAlign w:val="superscript"/>
              </w:rPr>
              <w:t>+</w:t>
            </w:r>
            <w:r>
              <w:rPr>
                <w:rFonts w:asciiTheme="majorHAnsi" w:hAnsiTheme="majorHAnsi"/>
              </w:rPr>
              <w:t xml:space="preserve"> progeny </w:t>
            </w:r>
          </w:p>
        </w:tc>
        <w:tc>
          <w:tcPr>
            <w:tcW w:w="1559" w:type="dxa"/>
            <w:tcBorders>
              <w:bottom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 w:rsidRPr="003F62E8">
              <w:rPr>
                <w:rFonts w:asciiTheme="majorHAnsi" w:hAnsiTheme="majorHAnsi"/>
              </w:rPr>
              <w:t>Number of GFP</w:t>
            </w:r>
            <w:r w:rsidRPr="003F62E8">
              <w:rPr>
                <w:rFonts w:asciiTheme="majorHAnsi" w:hAnsiTheme="majorHAnsi"/>
                <w:vertAlign w:val="superscript"/>
              </w:rPr>
              <w:t>-</w:t>
            </w:r>
            <w:r>
              <w:rPr>
                <w:rFonts w:asciiTheme="majorHAnsi" w:hAnsiTheme="majorHAnsi"/>
              </w:rPr>
              <w:t xml:space="preserve"> progeny </w:t>
            </w:r>
          </w:p>
        </w:tc>
      </w:tr>
      <w:tr w:rsidR="00807978" w:rsidRPr="003F62E8" w:rsidTr="00D73E77">
        <w:tc>
          <w:tcPr>
            <w:tcW w:w="1169" w:type="dxa"/>
            <w:tcBorders>
              <w:top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center"/>
              <w:rPr>
                <w:rFonts w:asciiTheme="majorHAnsi" w:hAnsiTheme="majorHAnsi"/>
              </w:rPr>
            </w:pPr>
            <w:r w:rsidRPr="003F62E8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1984" w:type="dxa"/>
            <w:tcBorders>
              <w:top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 + 66</w:t>
            </w:r>
          </w:p>
        </w:tc>
        <w:tc>
          <w:tcPr>
            <w:tcW w:w="1354" w:type="dxa"/>
            <w:tcBorders>
              <w:top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1697" w:type="dxa"/>
            <w:tcBorders>
              <w:top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426 (23.5 %)</w:t>
            </w:r>
          </w:p>
        </w:tc>
        <w:tc>
          <w:tcPr>
            <w:tcW w:w="1559" w:type="dxa"/>
            <w:tcBorders>
              <w:top w:val="single" w:sz="6" w:space="0" w:color="008000"/>
            </w:tcBorders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1385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Pr="003F62E8" w:rsidRDefault="00807978" w:rsidP="00D73E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1b</w:t>
            </w:r>
          </w:p>
        </w:tc>
        <w:tc>
          <w:tcPr>
            <w:tcW w:w="198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 + 66</w:t>
            </w:r>
          </w:p>
        </w:tc>
        <w:tc>
          <w:tcPr>
            <w:tcW w:w="1354" w:type="dxa"/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1697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378 (26.8%)</w:t>
            </w:r>
          </w:p>
        </w:tc>
        <w:tc>
          <w:tcPr>
            <w:tcW w:w="1559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1031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Pr="003F62E8" w:rsidRDefault="00807978" w:rsidP="00D73E77">
            <w:pPr>
              <w:jc w:val="center"/>
              <w:rPr>
                <w:rFonts w:asciiTheme="majorHAnsi" w:hAnsiTheme="majorHAnsi"/>
              </w:rPr>
            </w:pPr>
            <w:r w:rsidRPr="003F62E8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1984" w:type="dxa"/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 + 53</w:t>
            </w:r>
          </w:p>
        </w:tc>
        <w:tc>
          <w:tcPr>
            <w:tcW w:w="1354" w:type="dxa"/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</w:t>
            </w:r>
          </w:p>
        </w:tc>
        <w:tc>
          <w:tcPr>
            <w:tcW w:w="1697" w:type="dxa"/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240 (10.4 %)</w:t>
            </w:r>
          </w:p>
        </w:tc>
        <w:tc>
          <w:tcPr>
            <w:tcW w:w="1559" w:type="dxa"/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2060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Pr="003F62E8" w:rsidRDefault="00807978" w:rsidP="00D73E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2b</w:t>
            </w:r>
          </w:p>
        </w:tc>
        <w:tc>
          <w:tcPr>
            <w:tcW w:w="198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 + 53</w:t>
            </w:r>
          </w:p>
        </w:tc>
        <w:tc>
          <w:tcPr>
            <w:tcW w:w="1354" w:type="dxa"/>
            <w:shd w:val="clear" w:color="auto" w:fill="auto"/>
          </w:tcPr>
          <w:p w:rsidR="00807978" w:rsidRPr="003F62E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</w:t>
            </w:r>
          </w:p>
        </w:tc>
        <w:tc>
          <w:tcPr>
            <w:tcW w:w="1697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621 (29.6%)</w:t>
            </w:r>
          </w:p>
        </w:tc>
        <w:tc>
          <w:tcPr>
            <w:tcW w:w="1559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1471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Default="00807978" w:rsidP="00D73E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3a</w:t>
            </w:r>
          </w:p>
        </w:tc>
        <w:tc>
          <w:tcPr>
            <w:tcW w:w="198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140+140</w:t>
            </w:r>
          </w:p>
        </w:tc>
        <w:tc>
          <w:tcPr>
            <w:tcW w:w="135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</w:t>
            </w:r>
          </w:p>
        </w:tc>
        <w:tc>
          <w:tcPr>
            <w:tcW w:w="1697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4170 (39.7%)</w:t>
            </w:r>
          </w:p>
        </w:tc>
        <w:tc>
          <w:tcPr>
            <w:tcW w:w="1559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6323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Default="00807978" w:rsidP="00D73E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3b</w:t>
            </w:r>
          </w:p>
        </w:tc>
        <w:tc>
          <w:tcPr>
            <w:tcW w:w="198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140+140</w:t>
            </w:r>
          </w:p>
        </w:tc>
        <w:tc>
          <w:tcPr>
            <w:tcW w:w="135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</w:t>
            </w:r>
          </w:p>
        </w:tc>
        <w:tc>
          <w:tcPr>
            <w:tcW w:w="1697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910 (45.6%)</w:t>
            </w:r>
          </w:p>
        </w:tc>
        <w:tc>
          <w:tcPr>
            <w:tcW w:w="1559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1084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Default="00807978" w:rsidP="00D73E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4a</w:t>
            </w:r>
          </w:p>
        </w:tc>
        <w:tc>
          <w:tcPr>
            <w:tcW w:w="198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71+71</w:t>
            </w:r>
          </w:p>
        </w:tc>
        <w:tc>
          <w:tcPr>
            <w:tcW w:w="135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132</w:t>
            </w:r>
          </w:p>
        </w:tc>
        <w:tc>
          <w:tcPr>
            <w:tcW w:w="1697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2378 (39.1 %)</w:t>
            </w:r>
          </w:p>
        </w:tc>
        <w:tc>
          <w:tcPr>
            <w:tcW w:w="1559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3693</w:t>
            </w:r>
          </w:p>
        </w:tc>
      </w:tr>
      <w:tr w:rsidR="00807978" w:rsidRPr="003F62E8" w:rsidTr="00D73E77">
        <w:tc>
          <w:tcPr>
            <w:tcW w:w="1169" w:type="dxa"/>
            <w:shd w:val="clear" w:color="auto" w:fill="auto"/>
          </w:tcPr>
          <w:p w:rsidR="00807978" w:rsidRDefault="00807978" w:rsidP="00D73E7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4b</w:t>
            </w:r>
          </w:p>
        </w:tc>
        <w:tc>
          <w:tcPr>
            <w:tcW w:w="198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71+71</w:t>
            </w:r>
          </w:p>
        </w:tc>
        <w:tc>
          <w:tcPr>
            <w:tcW w:w="1354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132</w:t>
            </w:r>
          </w:p>
        </w:tc>
        <w:tc>
          <w:tcPr>
            <w:tcW w:w="1697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 (8.9 %)</w:t>
            </w:r>
          </w:p>
        </w:tc>
        <w:tc>
          <w:tcPr>
            <w:tcW w:w="1559" w:type="dxa"/>
            <w:shd w:val="clear" w:color="auto" w:fill="auto"/>
          </w:tcPr>
          <w:p w:rsidR="00807978" w:rsidRDefault="00807978" w:rsidP="00D73E7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700</w:t>
            </w:r>
          </w:p>
        </w:tc>
      </w:tr>
    </w:tbl>
    <w:p w:rsidR="00807978" w:rsidRDefault="00807978" w:rsidP="00807978">
      <w:pPr>
        <w:jc w:val="both"/>
        <w:rPr>
          <w:rFonts w:ascii="Avenir Light" w:hAnsi="Avenir Light"/>
        </w:rPr>
      </w:pPr>
    </w:p>
    <w:p w:rsidR="00807978" w:rsidRPr="004A05AC" w:rsidRDefault="00807978" w:rsidP="00807978">
      <w:pPr>
        <w:jc w:val="both"/>
        <w:rPr>
          <w:rFonts w:ascii="Avenir Light" w:hAnsi="Avenir Light"/>
        </w:rPr>
      </w:pPr>
      <w:r w:rsidRPr="004A05AC">
        <w:rPr>
          <w:rFonts w:ascii="Avenir Light" w:hAnsi="Avenir Light"/>
          <w:b/>
        </w:rPr>
        <w:t>Supplementa</w:t>
      </w:r>
      <w:r w:rsidR="00C15094">
        <w:rPr>
          <w:rFonts w:ascii="Avenir Light" w:hAnsi="Avenir Light"/>
          <w:b/>
        </w:rPr>
        <w:t>ry</w:t>
      </w:r>
      <w:r w:rsidRPr="004A05AC">
        <w:rPr>
          <w:rFonts w:ascii="Avenir Light" w:hAnsi="Avenir Light"/>
          <w:b/>
        </w:rPr>
        <w:t xml:space="preserve"> </w:t>
      </w:r>
      <w:r w:rsidR="001763B0">
        <w:rPr>
          <w:rFonts w:ascii="Avenir Light" w:hAnsi="Avenir Light"/>
          <w:b/>
        </w:rPr>
        <w:t>File 3</w:t>
      </w:r>
      <w:r w:rsidRPr="004A05AC">
        <w:rPr>
          <w:rFonts w:ascii="Avenir Light" w:hAnsi="Avenir Light"/>
          <w:b/>
        </w:rPr>
        <w:t xml:space="preserve">: fertility tests comparing the number of progeny produced by homozygous </w:t>
      </w:r>
      <w:proofErr w:type="spellStart"/>
      <w:proofErr w:type="gramStart"/>
      <w:r w:rsidRPr="004A05AC">
        <w:rPr>
          <w:rFonts w:ascii="Avenir Light" w:hAnsi="Avenir Light"/>
          <w:b/>
          <w:i/>
        </w:rPr>
        <w:t>Lp</w:t>
      </w:r>
      <w:proofErr w:type="spellEnd"/>
      <w:r w:rsidRPr="004A05AC">
        <w:rPr>
          <w:rFonts w:ascii="Avenir Light" w:hAnsi="Avenir Light"/>
          <w:b/>
          <w:i/>
        </w:rPr>
        <w:t>::</w:t>
      </w:r>
      <w:proofErr w:type="gramEnd"/>
      <w:r w:rsidRPr="004A05AC">
        <w:rPr>
          <w:rFonts w:ascii="Avenir Light" w:hAnsi="Avenir Light"/>
          <w:b/>
          <w:i/>
        </w:rPr>
        <w:t>Sc2A10</w:t>
      </w:r>
      <w:r w:rsidRPr="004A05AC">
        <w:rPr>
          <w:rFonts w:ascii="Avenir Light" w:hAnsi="Avenir Light"/>
          <w:b/>
        </w:rPr>
        <w:t xml:space="preserve"> female versus WT female mosquitoes.</w:t>
      </w:r>
      <w:r w:rsidRPr="004A05AC">
        <w:rPr>
          <w:rFonts w:ascii="Avenir Light" w:hAnsi="Avenir Light"/>
        </w:rPr>
        <w:t xml:space="preserve"> Indicated identical numbers of virgin transgenic and WT females were mixed in cages with WT males. After blood feeding, neonate larvae p</w:t>
      </w:r>
      <w:r>
        <w:rPr>
          <w:rFonts w:ascii="Avenir Light" w:hAnsi="Avenir Light"/>
        </w:rPr>
        <w:t>roduced by each cage were analyz</w:t>
      </w:r>
      <w:r w:rsidRPr="004A05AC">
        <w:rPr>
          <w:rFonts w:ascii="Avenir Light" w:hAnsi="Avenir Light"/>
        </w:rPr>
        <w:t xml:space="preserve">ed by flow cytometry (COPAS) and the numbers of GFP fluorescent and negative larvae were counted using </w:t>
      </w:r>
      <w:proofErr w:type="spellStart"/>
      <w:r w:rsidRPr="004A05AC">
        <w:rPr>
          <w:rFonts w:ascii="Avenir Light" w:hAnsi="Avenir Light"/>
        </w:rPr>
        <w:t>WinMDI</w:t>
      </w:r>
      <w:proofErr w:type="spellEnd"/>
      <w:r w:rsidRPr="004A05AC">
        <w:rPr>
          <w:rFonts w:ascii="Avenir Light" w:hAnsi="Avenir Light"/>
        </w:rPr>
        <w:t xml:space="preserve"> software on COPAS files. Identical fertility of the two categories of females would produce 50% of GFP positive progeny.  a, b after the replicate number indicate the first and second egg batch, </w:t>
      </w:r>
      <w:proofErr w:type="gramStart"/>
      <w:r w:rsidRPr="004A05AC">
        <w:rPr>
          <w:rFonts w:ascii="Avenir Light" w:hAnsi="Avenir Light"/>
        </w:rPr>
        <w:t>respectively,  from</w:t>
      </w:r>
      <w:proofErr w:type="gramEnd"/>
      <w:r w:rsidRPr="004A05AC">
        <w:rPr>
          <w:rFonts w:ascii="Avenir Light" w:hAnsi="Avenir Light"/>
        </w:rPr>
        <w:t xml:space="preserve"> the same mosquitoes. Replicate 1 was composed of smaller mosquitoes, due to higher density larval rearing. All other replicates were performed with mosquitoes of standard size. Replicate 4b was performed with old</w:t>
      </w:r>
      <w:r>
        <w:rPr>
          <w:rFonts w:ascii="Avenir Light" w:hAnsi="Avenir Light"/>
        </w:rPr>
        <w:t>er</w:t>
      </w:r>
      <w:r w:rsidRPr="004A05AC">
        <w:rPr>
          <w:rFonts w:ascii="Avenir Light" w:hAnsi="Avenir Light"/>
        </w:rPr>
        <w:t xml:space="preserve"> mosquitoes, with &gt;50% of females already dead.</w:t>
      </w:r>
    </w:p>
    <w:p w:rsidR="00807978" w:rsidRDefault="00807978" w:rsidP="00807978">
      <w:pPr>
        <w:jc w:val="both"/>
        <w:rPr>
          <w:rFonts w:ascii="Avenir Light" w:hAnsi="Avenir Light"/>
        </w:rPr>
      </w:pPr>
    </w:p>
    <w:p w:rsidR="00807978" w:rsidRDefault="00807978" w:rsidP="00807978"/>
    <w:p w:rsidR="00807978" w:rsidRDefault="00807978"/>
    <w:sectPr w:rsidR="00807978" w:rsidSect="000D4F7A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8"/>
    <w:rsid w:val="001763B0"/>
    <w:rsid w:val="00807978"/>
    <w:rsid w:val="00C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3390E7"/>
  <w15:chartTrackingRefBased/>
  <w15:docId w15:val="{61D0BA43-A212-4D47-99EE-08CA9BA9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78"/>
    <w:pPr>
      <w:spacing w:after="200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978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Marois</dc:creator>
  <cp:keywords/>
  <dc:description/>
  <cp:lastModifiedBy>Eric Marois</cp:lastModifiedBy>
  <cp:revision>3</cp:revision>
  <dcterms:created xsi:type="dcterms:W3CDTF">2023-11-22T14:53:00Z</dcterms:created>
  <dcterms:modified xsi:type="dcterms:W3CDTF">2023-11-22T15:08:00Z</dcterms:modified>
</cp:coreProperties>
</file>