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DBCCA5"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07DBF52"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218894"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815CCD"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D1DF72"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BADBBB"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8C5A2B"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6BF72B"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F5F467" w:rsidR="00F102CC" w:rsidRPr="003D5AF6" w:rsidRDefault="00A438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ADEDB6" w:rsidR="00F102CC" w:rsidRDefault="00A4383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6634C4"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E478E33"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AB1603" w:rsidR="00F102CC" w:rsidRPr="003D5AF6" w:rsidRDefault="007A2B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A316B6" w:rsidR="00F102CC" w:rsidRDefault="007A2B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A8199A"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A10E8E" w14:textId="77777777" w:rsidR="00F102CC"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29B843DD" w14:textId="77777777" w:rsidR="00A4383E" w:rsidRPr="007A1DE3" w:rsidRDefault="00A4383E" w:rsidP="00A4383E">
            <w:pPr>
              <w:jc w:val="both"/>
              <w:rPr>
                <w:rFonts w:eastAsia="Arial"/>
                <w:i/>
                <w:sz w:val="24"/>
                <w:szCs w:val="24"/>
              </w:rPr>
            </w:pPr>
            <w:r w:rsidRPr="007A1DE3">
              <w:rPr>
                <w:rFonts w:eastAsia="Arial"/>
                <w:i/>
                <w:sz w:val="24"/>
                <w:szCs w:val="24"/>
              </w:rPr>
              <w:t xml:space="preserve">Multi-isotope imaging mass spectrometry (MIMS) and data processing </w:t>
            </w:r>
          </w:p>
          <w:p w14:paraId="6D2BB682" w14:textId="49BE14DC" w:rsidR="00A4383E" w:rsidRPr="003D5AF6" w:rsidRDefault="00A438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EF2515" w14:textId="7EF8A489" w:rsidR="007A2BD1" w:rsidRDefault="007A2BD1" w:rsidP="007A2B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At the end of each Figure legend. </w:t>
            </w:r>
          </w:p>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E7FA85" w14:textId="25CAA182" w:rsidR="007A2BD1" w:rsidRDefault="007A2BD1" w:rsidP="007A2B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At the end of each Figure legend. </w:t>
            </w:r>
          </w:p>
          <w:p w14:paraId="199F1EEA" w14:textId="17827020" w:rsidR="007A2BD1" w:rsidRDefault="007A2BD1" w:rsidP="007A2BD1">
            <w:pPr>
              <w:spacing w:line="225" w:lineRule="auto"/>
              <w:rPr>
                <w:rFonts w:ascii="Noto Sans" w:eastAsia="Noto Sans" w:hAnsi="Noto Sans" w:cs="Noto Sans"/>
                <w:bCs/>
                <w:color w:val="434343"/>
                <w:sz w:val="18"/>
                <w:szCs w:val="18"/>
              </w:rPr>
            </w:pP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9333A4"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89B879" w:rsidR="00F102CC" w:rsidRPr="003D5AF6" w:rsidRDefault="00A4383E">
            <w:pPr>
              <w:spacing w:line="225" w:lineRule="auto"/>
              <w:rPr>
                <w:rFonts w:ascii="Noto Sans" w:eastAsia="Noto Sans" w:hAnsi="Noto Sans" w:cs="Noto Sans"/>
                <w:bCs/>
                <w:color w:val="434343"/>
                <w:sz w:val="18"/>
                <w:szCs w:val="18"/>
              </w:rPr>
            </w:pPr>
            <w:r w:rsidRPr="00A4383E">
              <w:rPr>
                <w:rFonts w:ascii="Noto Sans" w:eastAsia="Noto Sans" w:hAnsi="Noto Sans" w:cs="Noto Sans"/>
                <w:bCs/>
                <w:color w:val="434343"/>
                <w:sz w:val="18"/>
                <w:szCs w:val="18"/>
              </w:rPr>
              <w:t>All animal care and experimental protocols in this study were conducted under the guidelines set by the NIH Guide for the Care and Use of Laboratory Animals handbook, and the animal protocol was approved by the Animal Care and Use Committee of Northwestern University (IS00020198).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76E03D"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853563"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A34119" w14:textId="77777777" w:rsidR="007A2BD1" w:rsidRDefault="007A2BD1" w:rsidP="007A2B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1D050F56" w14:textId="77777777" w:rsidR="007A2BD1" w:rsidRPr="007A1DE3" w:rsidRDefault="007A2BD1" w:rsidP="007A2BD1">
            <w:pPr>
              <w:jc w:val="both"/>
              <w:rPr>
                <w:rFonts w:eastAsia="Arial"/>
                <w:i/>
                <w:sz w:val="24"/>
                <w:szCs w:val="24"/>
              </w:rPr>
            </w:pPr>
            <w:r w:rsidRPr="007A1DE3">
              <w:rPr>
                <w:rFonts w:eastAsia="Arial"/>
                <w:i/>
                <w:sz w:val="24"/>
                <w:szCs w:val="24"/>
              </w:rPr>
              <w:t xml:space="preserve">Multi-isotope imaging mass spectrometry (MIMS) and data processing </w:t>
            </w:r>
          </w:p>
          <w:p w14:paraId="33646CB2" w14:textId="77777777" w:rsidR="007A2BD1" w:rsidRPr="007A1DE3" w:rsidRDefault="007A2BD1" w:rsidP="007A2BD1">
            <w:pPr>
              <w:jc w:val="both"/>
              <w:rPr>
                <w:rFonts w:eastAsia="Arial"/>
                <w:i/>
                <w:sz w:val="24"/>
                <w:szCs w:val="24"/>
              </w:rPr>
            </w:pPr>
            <w:r w:rsidRPr="007A1DE3">
              <w:rPr>
                <w:rFonts w:eastAsia="Arial"/>
                <w:i/>
                <w:sz w:val="24"/>
                <w:szCs w:val="24"/>
              </w:rPr>
              <w:t>Ovarian follicle counts and histological analysis</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F13891" w14:textId="77777777" w:rsidR="00A4383E" w:rsidRDefault="00A4383E" w:rsidP="00A4383E">
            <w:pPr>
              <w:pStyle w:val="EndNoteCategoryHeading"/>
              <w:rPr>
                <w:b w:val="0"/>
                <w:bCs/>
                <w:sz w:val="24"/>
                <w:szCs w:val="24"/>
              </w:rPr>
            </w:pPr>
            <w:r>
              <w:rPr>
                <w:b w:val="0"/>
                <w:bCs/>
                <w:sz w:val="24"/>
                <w:szCs w:val="24"/>
              </w:rPr>
              <w:t>Materials and Methods: Stasistical Analysis:</w:t>
            </w:r>
          </w:p>
          <w:p w14:paraId="159EA788" w14:textId="77777777" w:rsidR="00A4383E" w:rsidRDefault="00A4383E" w:rsidP="00A4383E">
            <w:pPr>
              <w:pStyle w:val="EndNoteCategoryHeading"/>
              <w:rPr>
                <w:b w:val="0"/>
                <w:bCs/>
                <w:sz w:val="24"/>
                <w:szCs w:val="24"/>
              </w:rPr>
            </w:pPr>
          </w:p>
          <w:p w14:paraId="6DE80155" w14:textId="2113F4AF" w:rsidR="00A4383E" w:rsidRDefault="00A4383E" w:rsidP="00A4383E">
            <w:pPr>
              <w:pStyle w:val="EndNoteCategoryHeading"/>
              <w:rPr>
                <w:b w:val="0"/>
                <w:bCs/>
                <w:sz w:val="24"/>
                <w:szCs w:val="24"/>
              </w:rPr>
            </w:pPr>
            <w:r w:rsidRPr="007A1DE3">
              <w:rPr>
                <w:b w:val="0"/>
                <w:bCs/>
                <w:sz w:val="24"/>
                <w:szCs w:val="24"/>
              </w:rPr>
              <w:t xml:space="preserve">Statistical analyses were conducted using GraphPad Prism, version 9 (GraphPad Software, Inc.). A Student’s t-test was performed for comparisons between two groups. For comparisons of more than two groups, a one-way </w:t>
            </w:r>
            <w:sdt>
              <w:sdtPr>
                <w:rPr>
                  <w:b w:val="0"/>
                  <w:bCs/>
                  <w:sz w:val="24"/>
                  <w:szCs w:val="24"/>
                </w:rPr>
                <w:tag w:val="goog_rdk_50"/>
                <w:id w:val="-1219355505"/>
              </w:sdtPr>
              <w:sdtContent/>
            </w:sdt>
            <w:r w:rsidRPr="007A1DE3">
              <w:rPr>
                <w:b w:val="0"/>
                <w:bCs/>
                <w:sz w:val="24"/>
                <w:szCs w:val="24"/>
              </w:rPr>
              <w:t xml:space="preserve">ANOVA was used. A one sample t-test was used to compare </w:t>
            </w:r>
            <w:r w:rsidRPr="007A1DE3">
              <w:rPr>
                <w:b w:val="0"/>
                <w:bCs/>
                <w:sz w:val="24"/>
                <w:szCs w:val="24"/>
                <w:vertAlign w:val="superscript"/>
              </w:rPr>
              <w:t>15</w:t>
            </w:r>
            <w:r w:rsidRPr="007A1DE3">
              <w:rPr>
                <w:b w:val="0"/>
                <w:bCs/>
                <w:sz w:val="24"/>
                <w:szCs w:val="24"/>
              </w:rPr>
              <w:t>N/</w:t>
            </w:r>
            <w:r w:rsidRPr="007A1DE3">
              <w:rPr>
                <w:b w:val="0"/>
                <w:bCs/>
                <w:sz w:val="24"/>
                <w:szCs w:val="24"/>
                <w:vertAlign w:val="superscript"/>
              </w:rPr>
              <w:t>14</w:t>
            </w:r>
            <w:r w:rsidRPr="007A1DE3">
              <w:rPr>
                <w:b w:val="0"/>
                <w:bCs/>
                <w:sz w:val="24"/>
                <w:szCs w:val="24"/>
              </w:rPr>
              <w:t xml:space="preserve">N ratios of cytoplasmic and nuclear regions to a hypothetical value of 1. Values &gt;1 signified a cell had greater </w:t>
            </w:r>
            <w:r w:rsidRPr="007A1DE3">
              <w:rPr>
                <w:b w:val="0"/>
                <w:bCs/>
                <w:sz w:val="24"/>
                <w:szCs w:val="24"/>
                <w:vertAlign w:val="superscript"/>
              </w:rPr>
              <w:t>15</w:t>
            </w:r>
            <w:r w:rsidRPr="007A1DE3">
              <w:rPr>
                <w:b w:val="0"/>
                <w:bCs/>
                <w:sz w:val="24"/>
                <w:szCs w:val="24"/>
              </w:rPr>
              <w:t xml:space="preserve">N-labelling abundance in the nucleus compared to the cytoplasm. Values &lt;1 represented cells with a lower </w:t>
            </w:r>
            <w:r w:rsidRPr="007A1DE3">
              <w:rPr>
                <w:b w:val="0"/>
                <w:bCs/>
                <w:sz w:val="24"/>
                <w:szCs w:val="24"/>
                <w:vertAlign w:val="superscript"/>
              </w:rPr>
              <w:t>15</w:t>
            </w:r>
            <w:r w:rsidRPr="007A1DE3">
              <w:rPr>
                <w:b w:val="0"/>
                <w:bCs/>
                <w:sz w:val="24"/>
                <w:szCs w:val="24"/>
              </w:rPr>
              <w:t xml:space="preserve">N-labelling </w:t>
            </w:r>
            <w:r w:rsidRPr="007A1DE3">
              <w:rPr>
                <w:b w:val="0"/>
                <w:bCs/>
                <w:sz w:val="24"/>
                <w:szCs w:val="24"/>
              </w:rPr>
              <w:lastRenderedPageBreak/>
              <w:t xml:space="preserve">abundance in the nucleus compared to the cytoplasm. Values equal to 1 represented a cell with a </w:t>
            </w:r>
            <w:r w:rsidRPr="007A1DE3">
              <w:rPr>
                <w:b w:val="0"/>
                <w:bCs/>
                <w:sz w:val="24"/>
                <w:szCs w:val="24"/>
                <w:vertAlign w:val="superscript"/>
              </w:rPr>
              <w:t>15</w:t>
            </w:r>
            <w:r w:rsidRPr="007A1DE3">
              <w:rPr>
                <w:b w:val="0"/>
                <w:bCs/>
                <w:sz w:val="24"/>
                <w:szCs w:val="24"/>
              </w:rPr>
              <w:t xml:space="preserve">N-labelling abundance that were equivalent in both nuclear and cytoplasmic regions. Data were considered significant with a p-value &lt;.05 (* p-value &lt;.05, ** p-value &lt;.01, *** p-value &lt;.001). Variability of groups was denoted as standard error of mean (SEM). </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DBD0BD" w14:textId="488C05EB" w:rsidR="00F102CC"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w:t>
            </w:r>
            <w:r w:rsidR="007A2BD1">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materials availability </w:t>
            </w:r>
          </w:p>
          <w:p w14:paraId="1D760E82" w14:textId="77777777" w:rsidR="00A4383E" w:rsidRDefault="00A4383E">
            <w:pPr>
              <w:spacing w:line="225" w:lineRule="auto"/>
              <w:rPr>
                <w:rFonts w:ascii="Noto Sans" w:eastAsia="Noto Sans" w:hAnsi="Noto Sans" w:cs="Noto Sans"/>
                <w:bCs/>
                <w:color w:val="434343"/>
                <w:sz w:val="18"/>
                <w:szCs w:val="18"/>
              </w:rPr>
            </w:pPr>
          </w:p>
          <w:p w14:paraId="4790A381" w14:textId="45A2A96B" w:rsidR="00A4383E" w:rsidRPr="003D5AF6" w:rsidRDefault="00A4383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4A489D" w14:textId="77777777" w:rsidR="00A4383E" w:rsidRDefault="00A4383E" w:rsidP="00A4383E">
            <w:pPr>
              <w:pBdr>
                <w:top w:val="nil"/>
                <w:left w:val="nil"/>
                <w:bottom w:val="nil"/>
                <w:right w:val="nil"/>
                <w:between w:val="nil"/>
              </w:pBdr>
              <w:jc w:val="both"/>
              <w:rPr>
                <w:rFonts w:eastAsia="Arial"/>
                <w:sz w:val="24"/>
                <w:szCs w:val="24"/>
              </w:rPr>
            </w:pPr>
            <w:r w:rsidRPr="007A1DE3">
              <w:rPr>
                <w:rFonts w:eastAsia="Arial"/>
                <w:sz w:val="24"/>
                <w:szCs w:val="24"/>
              </w:rPr>
              <w:t xml:space="preserve">All data generated or analyzed during this study are included in the manuscript and supporting files. RAW MS data has also been deposited at </w:t>
            </w:r>
            <w:proofErr w:type="spellStart"/>
            <w:r w:rsidRPr="007A1DE3">
              <w:rPr>
                <w:rFonts w:eastAsia="Arial"/>
                <w:sz w:val="24"/>
                <w:szCs w:val="24"/>
              </w:rPr>
              <w:t>MassIVE</w:t>
            </w:r>
            <w:proofErr w:type="spellEnd"/>
            <w:r w:rsidRPr="007A1DE3">
              <w:rPr>
                <w:rFonts w:eastAsia="Arial"/>
                <w:sz w:val="24"/>
                <w:szCs w:val="24"/>
              </w:rPr>
              <w:t xml:space="preserve"> under the accession number MSV000092217</w:t>
            </w:r>
          </w:p>
          <w:p w14:paraId="18D0613D" w14:textId="77777777" w:rsidR="00A4383E" w:rsidRPr="007A1DE3" w:rsidRDefault="00A4383E" w:rsidP="00A4383E">
            <w:pPr>
              <w:pBdr>
                <w:top w:val="nil"/>
                <w:left w:val="nil"/>
                <w:bottom w:val="nil"/>
                <w:right w:val="nil"/>
                <w:between w:val="nil"/>
              </w:pBdr>
              <w:jc w:val="both"/>
              <w:rPr>
                <w:rFonts w:eastAsia="Arial"/>
                <w:sz w:val="24"/>
                <w:szCs w:val="24"/>
              </w:rPr>
            </w:pPr>
          </w:p>
          <w:p w14:paraId="78FCD14D" w14:textId="0D2F2F77" w:rsidR="00F102CC" w:rsidRPr="003D5AF6" w:rsidRDefault="00A4383E" w:rsidP="00A4383E">
            <w:pPr>
              <w:spacing w:line="225" w:lineRule="auto"/>
              <w:rPr>
                <w:rFonts w:ascii="Noto Sans" w:eastAsia="Noto Sans" w:hAnsi="Noto Sans" w:cs="Noto Sans"/>
                <w:bCs/>
                <w:color w:val="434343"/>
                <w:sz w:val="18"/>
                <w:szCs w:val="18"/>
              </w:rPr>
            </w:pPr>
            <w:r w:rsidRPr="00A4383E">
              <w:rPr>
                <w:rFonts w:ascii="Noto Sans" w:eastAsia="Noto Sans" w:hAnsi="Noto Sans" w:cs="Noto Sans"/>
                <w:bCs/>
                <w:color w:val="434343"/>
                <w:sz w:val="18"/>
                <w:szCs w:val="18"/>
              </w:rPr>
              <w:t>https://massive.ucsd.edu/ProteoSAFe/dataset.jsp?accession=MSV000092217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8DCA9A"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5EAD83"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333675"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BD055C"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8398F9" w:rsidR="00F102CC" w:rsidRPr="003D5AF6" w:rsidRDefault="00A43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1E218" w14:textId="77777777" w:rsidR="00BB206E" w:rsidRDefault="00BB206E">
      <w:r>
        <w:separator/>
      </w:r>
    </w:p>
  </w:endnote>
  <w:endnote w:type="continuationSeparator" w:id="0">
    <w:p w14:paraId="34FA76B9" w14:textId="77777777" w:rsidR="00BB206E" w:rsidRDefault="00BB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16833" w14:textId="77777777" w:rsidR="00BB206E" w:rsidRDefault="00BB206E">
      <w:r>
        <w:separator/>
      </w:r>
    </w:p>
  </w:footnote>
  <w:footnote w:type="continuationSeparator" w:id="0">
    <w:p w14:paraId="4DFC05FC" w14:textId="77777777" w:rsidR="00BB206E" w:rsidRDefault="00BB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7A2BD1"/>
    <w:rsid w:val="009C7B26"/>
    <w:rsid w:val="009F06BD"/>
    <w:rsid w:val="00A11E52"/>
    <w:rsid w:val="00A4383E"/>
    <w:rsid w:val="00B2483D"/>
    <w:rsid w:val="00BB206E"/>
    <w:rsid w:val="00BD41E9"/>
    <w:rsid w:val="00C84413"/>
    <w:rsid w:val="00E91EC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EndNoteCategoryHeading">
    <w:name w:val="EndNote Category Heading"/>
    <w:basedOn w:val="Normal"/>
    <w:link w:val="EndNoteCategoryHeadingChar"/>
    <w:rsid w:val="00A4383E"/>
    <w:pPr>
      <w:widowControl/>
      <w:spacing w:before="120" w:after="120"/>
    </w:pPr>
    <w:rPr>
      <w:rFonts w:ascii="Times New Roman" w:hAnsi="Times New Roman" w:cs="Times New Roman"/>
      <w:b/>
      <w:noProof/>
      <w:sz w:val="20"/>
      <w:szCs w:val="20"/>
      <w:lang w:eastAsia="en-US"/>
    </w:rPr>
  </w:style>
  <w:style w:type="character" w:customStyle="1" w:styleId="EndNoteCategoryHeadingChar">
    <w:name w:val="EndNote Category Heading Char"/>
    <w:basedOn w:val="DefaultParagraphFont"/>
    <w:link w:val="EndNoteCategoryHeading"/>
    <w:rsid w:val="00A4383E"/>
    <w:rPr>
      <w:rFonts w:ascii="Times New Roman" w:hAnsi="Times New Roman" w:cs="Times New Roman"/>
      <w:b/>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Karolina Bomba-Warczak</dc:creator>
  <cp:lastModifiedBy>Ewa Karolina Bomba-Warczak</cp:lastModifiedBy>
  <cp:revision>2</cp:revision>
  <dcterms:created xsi:type="dcterms:W3CDTF">2024-09-16T16:51:00Z</dcterms:created>
  <dcterms:modified xsi:type="dcterms:W3CDTF">2024-09-16T16:51:00Z</dcterms:modified>
</cp:coreProperties>
</file>