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E2324E" w:rsidRDefault="004E2C31">
      <w:pPr>
        <w:spacing w:before="60" w:line="227" w:lineRule="auto"/>
        <w:jc w:val="center"/>
        <w:rPr>
          <w:rFonts w:ascii="Noto Sans" w:eastAsia="Noto Sans" w:hAnsi="Noto Sans" w:cs="Noto Sans"/>
          <w:b/>
          <w:color w:val="000000" w:themeColor="text1"/>
          <w:sz w:val="18"/>
          <w:szCs w:val="18"/>
          <w:u w:val="single"/>
        </w:rPr>
      </w:pPr>
    </w:p>
    <w:p w14:paraId="147016ED" w14:textId="2B805116" w:rsidR="00F102CC" w:rsidRPr="00E2324E" w:rsidRDefault="00427975">
      <w:pPr>
        <w:spacing w:before="60" w:line="227" w:lineRule="auto"/>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u w:val="single"/>
        </w:rPr>
        <w:t>M</w:t>
      </w:r>
      <w:r w:rsidRPr="00E2324E">
        <w:rPr>
          <w:rFonts w:ascii="Noto Sans" w:eastAsia="Noto Sans" w:hAnsi="Noto Sans" w:cs="Noto Sans"/>
          <w:b/>
          <w:color w:val="000000" w:themeColor="text1"/>
          <w:sz w:val="18"/>
          <w:szCs w:val="18"/>
        </w:rPr>
        <w:t xml:space="preserve">aterials </w:t>
      </w:r>
      <w:r w:rsidRPr="00E2324E">
        <w:rPr>
          <w:rFonts w:ascii="Noto Sans" w:eastAsia="Noto Sans" w:hAnsi="Noto Sans" w:cs="Noto Sans"/>
          <w:b/>
          <w:color w:val="000000" w:themeColor="text1"/>
          <w:sz w:val="18"/>
          <w:szCs w:val="18"/>
          <w:u w:val="single"/>
        </w:rPr>
        <w:t>D</w:t>
      </w:r>
      <w:r w:rsidRPr="00E2324E">
        <w:rPr>
          <w:rFonts w:ascii="Noto Sans" w:eastAsia="Noto Sans" w:hAnsi="Noto Sans" w:cs="Noto Sans"/>
          <w:b/>
          <w:color w:val="000000" w:themeColor="text1"/>
          <w:sz w:val="18"/>
          <w:szCs w:val="18"/>
        </w:rPr>
        <w:t xml:space="preserve">esign </w:t>
      </w:r>
      <w:r w:rsidRPr="00E2324E">
        <w:rPr>
          <w:rFonts w:ascii="Noto Sans" w:eastAsia="Noto Sans" w:hAnsi="Noto Sans" w:cs="Noto Sans"/>
          <w:b/>
          <w:color w:val="000000" w:themeColor="text1"/>
          <w:sz w:val="18"/>
          <w:szCs w:val="18"/>
          <w:u w:val="single"/>
        </w:rPr>
        <w:t>A</w:t>
      </w:r>
      <w:r w:rsidRPr="00E2324E">
        <w:rPr>
          <w:rFonts w:ascii="Noto Sans" w:eastAsia="Noto Sans" w:hAnsi="Noto Sans" w:cs="Noto Sans"/>
          <w:b/>
          <w:color w:val="000000" w:themeColor="text1"/>
          <w:sz w:val="18"/>
          <w:szCs w:val="18"/>
        </w:rPr>
        <w:t xml:space="preserve">nalysis </w:t>
      </w:r>
      <w:r w:rsidRPr="00E2324E">
        <w:rPr>
          <w:rFonts w:ascii="Noto Sans" w:eastAsia="Noto Sans" w:hAnsi="Noto Sans" w:cs="Noto Sans"/>
          <w:b/>
          <w:color w:val="000000" w:themeColor="text1"/>
          <w:sz w:val="18"/>
          <w:szCs w:val="18"/>
          <w:u w:val="single"/>
        </w:rPr>
        <w:t>R</w:t>
      </w:r>
      <w:r w:rsidRPr="00E2324E">
        <w:rPr>
          <w:rFonts w:ascii="Noto Sans" w:eastAsia="Noto Sans" w:hAnsi="Noto Sans" w:cs="Noto Sans"/>
          <w:b/>
          <w:color w:val="000000" w:themeColor="text1"/>
          <w:sz w:val="18"/>
          <w:szCs w:val="18"/>
        </w:rPr>
        <w:t>eporting (MDAR)</w:t>
      </w:r>
    </w:p>
    <w:p w14:paraId="2B2C3068" w14:textId="77777777" w:rsidR="00F102CC" w:rsidRPr="00E2324E" w:rsidRDefault="00427975">
      <w:pPr>
        <w:spacing w:before="60" w:line="227" w:lineRule="auto"/>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Checklist for Authors</w:t>
      </w:r>
    </w:p>
    <w:p w14:paraId="5949C2FF" w14:textId="77777777" w:rsidR="00F102CC" w:rsidRPr="00E2324E" w:rsidRDefault="00F102CC">
      <w:pPr>
        <w:rPr>
          <w:rFonts w:ascii="Noto Sans" w:eastAsia="Noto Sans" w:hAnsi="Noto Sans" w:cs="Noto Sans"/>
          <w:color w:val="000000" w:themeColor="text1"/>
          <w:sz w:val="18"/>
          <w:szCs w:val="18"/>
        </w:rPr>
      </w:pPr>
    </w:p>
    <w:p w14:paraId="7DCA99D5"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 xml:space="preserve">The </w:t>
      </w:r>
      <w:hyperlink r:id="rId7">
        <w:r w:rsidRPr="00E2324E">
          <w:rPr>
            <w:rFonts w:ascii="Noto Sans" w:eastAsia="Noto Sans" w:hAnsi="Noto Sans" w:cs="Noto Sans"/>
            <w:color w:val="000000" w:themeColor="text1"/>
            <w:sz w:val="18"/>
            <w:szCs w:val="18"/>
            <w:u w:val="single"/>
          </w:rPr>
          <w:t>MDAR framework</w:t>
        </w:r>
      </w:hyperlink>
      <w:r w:rsidRPr="00E2324E">
        <w:rPr>
          <w:rFonts w:ascii="Noto Sans" w:eastAsia="Noto Sans" w:hAnsi="Noto Sans" w:cs="Noto Sans"/>
          <w:color w:val="000000" w:themeColor="text1"/>
          <w:sz w:val="18"/>
          <w:szCs w:val="18"/>
        </w:rPr>
        <w:t xml:space="preserve"> establishes a minimum set of requirements in transparent reporting mainly applicable to studies in the life sciences.</w:t>
      </w:r>
    </w:p>
    <w:p w14:paraId="607C817B" w14:textId="77777777" w:rsidR="00F102CC" w:rsidRPr="00E2324E" w:rsidRDefault="00F102CC">
      <w:pPr>
        <w:rPr>
          <w:rFonts w:ascii="Noto Sans" w:eastAsia="Noto Sans" w:hAnsi="Noto Sans" w:cs="Noto Sans"/>
          <w:color w:val="000000" w:themeColor="text1"/>
          <w:sz w:val="18"/>
          <w:szCs w:val="18"/>
        </w:rPr>
      </w:pPr>
      <w:bookmarkStart w:id="0" w:name="_cvmm3w1hmoo8" w:colFirst="0" w:colLast="0"/>
      <w:bookmarkEnd w:id="0"/>
    </w:p>
    <w:p w14:paraId="23802453" w14:textId="17B33ADC" w:rsidR="00F102CC" w:rsidRPr="00E2324E" w:rsidRDefault="00427975">
      <w:pPr>
        <w:rPr>
          <w:rFonts w:ascii="Noto Sans" w:eastAsia="Noto Sans" w:hAnsi="Noto Sans" w:cs="Noto Sans"/>
          <w:color w:val="000000" w:themeColor="text1"/>
          <w:sz w:val="18"/>
          <w:szCs w:val="18"/>
        </w:rPr>
      </w:pPr>
      <w:proofErr w:type="spellStart"/>
      <w:r w:rsidRPr="00E2324E">
        <w:rPr>
          <w:rFonts w:ascii="Noto Sans" w:eastAsia="Noto Sans" w:hAnsi="Noto Sans" w:cs="Noto Sans"/>
          <w:i/>
          <w:color w:val="000000" w:themeColor="text1"/>
          <w:sz w:val="18"/>
          <w:szCs w:val="18"/>
        </w:rPr>
        <w:t>eLife</w:t>
      </w:r>
      <w:proofErr w:type="spellEnd"/>
      <w:r w:rsidRPr="00E2324E">
        <w:rPr>
          <w:rFonts w:ascii="Noto Sans" w:eastAsia="Noto Sans" w:hAnsi="Noto Sans" w:cs="Noto Sans"/>
          <w:color w:val="000000" w:themeColor="text1"/>
          <w:sz w:val="18"/>
          <w:szCs w:val="18"/>
        </w:rPr>
        <w:t xml:space="preserve"> asks authors to </w:t>
      </w:r>
      <w:r w:rsidRPr="00E2324E">
        <w:rPr>
          <w:rFonts w:ascii="Noto Sans" w:eastAsia="Noto Sans" w:hAnsi="Noto Sans" w:cs="Noto Sans"/>
          <w:b/>
          <w:color w:val="000000" w:themeColor="text1"/>
          <w:sz w:val="18"/>
          <w:szCs w:val="18"/>
        </w:rPr>
        <w:t>provide detailed information within their article</w:t>
      </w:r>
      <w:r w:rsidRPr="00E2324E">
        <w:rPr>
          <w:rFonts w:ascii="Noto Sans" w:eastAsia="Noto Sans" w:hAnsi="Noto Sans" w:cs="Noto Sans"/>
          <w:color w:val="000000" w:themeColor="text1"/>
          <w:sz w:val="18"/>
          <w:szCs w:val="18"/>
        </w:rPr>
        <w:t xml:space="preserve"> to facilitate the interpretation and replication of their work. Authors can also upload supporting materials to comply with relevant reporting guidelines for health-related research (see </w:t>
      </w:r>
      <w:hyperlink r:id="rId8">
        <w:r w:rsidRPr="00E2324E">
          <w:rPr>
            <w:rFonts w:ascii="Noto Sans" w:eastAsia="Noto Sans" w:hAnsi="Noto Sans" w:cs="Noto Sans"/>
            <w:color w:val="000000" w:themeColor="text1"/>
            <w:sz w:val="18"/>
            <w:szCs w:val="18"/>
            <w:u w:val="single"/>
          </w:rPr>
          <w:t>EQUATOR Network</w:t>
        </w:r>
      </w:hyperlink>
      <w:r w:rsidRPr="00E2324E">
        <w:rPr>
          <w:rFonts w:ascii="Noto Sans" w:eastAsia="Noto Sans" w:hAnsi="Noto Sans" w:cs="Noto Sans"/>
          <w:color w:val="000000" w:themeColor="text1"/>
          <w:sz w:val="18"/>
          <w:szCs w:val="18"/>
        </w:rPr>
        <w:t>), life science research (see the </w:t>
      </w:r>
      <w:proofErr w:type="spellStart"/>
      <w:r w:rsidR="00337ABF">
        <w:fldChar w:fldCharType="begin"/>
      </w:r>
      <w:r w:rsidR="00337ABF">
        <w:instrText xml:space="preserve"> HYPERLINK "http://biosharing.org/" \h </w:instrText>
      </w:r>
      <w:r w:rsidR="00337ABF">
        <w:fldChar w:fldCharType="separate"/>
      </w:r>
      <w:r w:rsidRPr="00E2324E">
        <w:rPr>
          <w:rFonts w:ascii="Noto Sans" w:eastAsia="Noto Sans" w:hAnsi="Noto Sans" w:cs="Noto Sans"/>
          <w:color w:val="000000" w:themeColor="text1"/>
          <w:sz w:val="18"/>
          <w:szCs w:val="18"/>
          <w:u w:val="single"/>
        </w:rPr>
        <w:t>BioSharing</w:t>
      </w:r>
      <w:proofErr w:type="spellEnd"/>
      <w:r w:rsidRPr="00E2324E">
        <w:rPr>
          <w:rFonts w:ascii="Noto Sans" w:eastAsia="Noto Sans" w:hAnsi="Noto Sans" w:cs="Noto Sans"/>
          <w:color w:val="000000" w:themeColor="text1"/>
          <w:sz w:val="18"/>
          <w:szCs w:val="18"/>
          <w:u w:val="single"/>
        </w:rPr>
        <w:t xml:space="preserve"> Information Resource</w:t>
      </w:r>
      <w:r w:rsidR="00337ABF">
        <w:rPr>
          <w:rFonts w:ascii="Noto Sans" w:eastAsia="Noto Sans" w:hAnsi="Noto Sans" w:cs="Noto Sans"/>
          <w:color w:val="000000" w:themeColor="text1"/>
          <w:sz w:val="18"/>
          <w:szCs w:val="18"/>
          <w:u w:val="single"/>
        </w:rPr>
        <w:fldChar w:fldCharType="end"/>
      </w:r>
      <w:r w:rsidRPr="00E2324E">
        <w:rPr>
          <w:rFonts w:ascii="Noto Sans" w:eastAsia="Noto Sans" w:hAnsi="Noto Sans" w:cs="Noto Sans"/>
          <w:color w:val="000000" w:themeColor="text1"/>
          <w:sz w:val="18"/>
          <w:szCs w:val="18"/>
        </w:rPr>
        <w:t>), or animal research (see the </w:t>
      </w:r>
      <w:hyperlink r:id="rId9">
        <w:r w:rsidRPr="00E2324E">
          <w:rPr>
            <w:rFonts w:ascii="Noto Sans" w:eastAsia="Noto Sans" w:hAnsi="Noto Sans" w:cs="Noto Sans"/>
            <w:color w:val="000000" w:themeColor="text1"/>
            <w:sz w:val="18"/>
            <w:szCs w:val="18"/>
            <w:u w:val="single"/>
          </w:rPr>
          <w:t>ARRIVE Guidelines</w:t>
        </w:r>
      </w:hyperlink>
      <w:r w:rsidRPr="00E2324E">
        <w:rPr>
          <w:rFonts w:ascii="Noto Sans" w:eastAsia="Noto Sans" w:hAnsi="Noto Sans" w:cs="Noto Sans"/>
          <w:color w:val="000000" w:themeColor="text1"/>
          <w:sz w:val="18"/>
          <w:szCs w:val="18"/>
        </w:rPr>
        <w:t xml:space="preserve"> and the </w:t>
      </w:r>
      <w:hyperlink r:id="rId10">
        <w:r w:rsidRPr="00E2324E">
          <w:rPr>
            <w:rFonts w:ascii="Noto Sans" w:eastAsia="Noto Sans" w:hAnsi="Noto Sans" w:cs="Noto Sans"/>
            <w:color w:val="000000" w:themeColor="text1"/>
            <w:sz w:val="18"/>
            <w:szCs w:val="18"/>
            <w:u w:val="single"/>
          </w:rPr>
          <w:t>STRANGE Framework</w:t>
        </w:r>
      </w:hyperlink>
      <w:r w:rsidRPr="00E2324E">
        <w:rPr>
          <w:rFonts w:ascii="Noto Sans" w:eastAsia="Noto Sans" w:hAnsi="Noto Sans" w:cs="Noto Sans"/>
          <w:color w:val="000000" w:themeColor="text1"/>
          <w:sz w:val="18"/>
          <w:szCs w:val="18"/>
        </w:rPr>
        <w:t xml:space="preserve">; for details, see </w:t>
      </w:r>
      <w:proofErr w:type="spellStart"/>
      <w:r w:rsidRPr="00E2324E">
        <w:rPr>
          <w:rFonts w:ascii="Noto Sans" w:eastAsia="Noto Sans" w:hAnsi="Noto Sans" w:cs="Noto Sans"/>
          <w:i/>
          <w:color w:val="000000" w:themeColor="text1"/>
          <w:sz w:val="18"/>
          <w:szCs w:val="18"/>
        </w:rPr>
        <w:t>eLife</w:t>
      </w:r>
      <w:r w:rsidRPr="00E2324E">
        <w:rPr>
          <w:rFonts w:ascii="Noto Sans" w:eastAsia="Noto Sans" w:hAnsi="Noto Sans" w:cs="Noto Sans"/>
          <w:color w:val="000000" w:themeColor="text1"/>
          <w:sz w:val="18"/>
          <w:szCs w:val="18"/>
        </w:rPr>
        <w:t>’s</w:t>
      </w:r>
      <w:proofErr w:type="spellEnd"/>
      <w:r w:rsidRPr="00E2324E">
        <w:rPr>
          <w:rFonts w:ascii="Noto Sans" w:eastAsia="Noto Sans" w:hAnsi="Noto Sans" w:cs="Noto Sans"/>
          <w:color w:val="000000" w:themeColor="text1"/>
          <w:sz w:val="18"/>
          <w:szCs w:val="18"/>
        </w:rPr>
        <w:t xml:space="preserve"> </w:t>
      </w:r>
      <w:hyperlink r:id="rId11">
        <w:r w:rsidRPr="00E2324E">
          <w:rPr>
            <w:rFonts w:ascii="Noto Sans" w:eastAsia="Noto Sans" w:hAnsi="Noto Sans" w:cs="Noto Sans"/>
            <w:color w:val="000000" w:themeColor="text1"/>
            <w:sz w:val="18"/>
            <w:szCs w:val="18"/>
            <w:u w:val="single"/>
          </w:rPr>
          <w:t>Journal Policies</w:t>
        </w:r>
      </w:hyperlink>
      <w:r w:rsidRPr="00E2324E">
        <w:rPr>
          <w:rFonts w:ascii="Noto Sans" w:eastAsia="Noto Sans" w:hAnsi="Noto Sans" w:cs="Noto Sans"/>
          <w:color w:val="000000" w:themeColor="text1"/>
          <w:sz w:val="18"/>
          <w:szCs w:val="18"/>
        </w:rPr>
        <w:t>). Where applicable, authors should refer to any relevant reporting standards materials in this form.</w:t>
      </w:r>
    </w:p>
    <w:p w14:paraId="05FE596D" w14:textId="77777777" w:rsidR="00F102CC" w:rsidRPr="00E2324E" w:rsidRDefault="00F102CC">
      <w:pPr>
        <w:rPr>
          <w:rFonts w:ascii="Noto Sans" w:eastAsia="Noto Sans" w:hAnsi="Noto Sans" w:cs="Noto Sans"/>
          <w:b/>
          <w:color w:val="000000" w:themeColor="text1"/>
          <w:sz w:val="18"/>
          <w:szCs w:val="18"/>
        </w:rPr>
      </w:pPr>
    </w:p>
    <w:p w14:paraId="09B952D6" w14:textId="77777777" w:rsidR="00F102CC" w:rsidRPr="00E2324E" w:rsidRDefault="00427975">
      <w:pPr>
        <w:spacing w:before="60" w:line="227" w:lineRule="auto"/>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 xml:space="preserve">For all that apply, please note </w:t>
      </w:r>
      <w:r w:rsidRPr="00E2324E">
        <w:rPr>
          <w:rFonts w:ascii="Noto Sans" w:eastAsia="Noto Sans" w:hAnsi="Noto Sans" w:cs="Noto Sans"/>
          <w:b/>
          <w:color w:val="000000" w:themeColor="text1"/>
          <w:sz w:val="18"/>
          <w:szCs w:val="18"/>
        </w:rPr>
        <w:t xml:space="preserve">where in the article </w:t>
      </w:r>
      <w:r w:rsidRPr="00E2324E">
        <w:rPr>
          <w:rFonts w:ascii="Noto Sans" w:eastAsia="Noto Sans" w:hAnsi="Noto Sans" w:cs="Noto Sans"/>
          <w:color w:val="000000" w:themeColor="text1"/>
          <w:sz w:val="18"/>
          <w:szCs w:val="18"/>
        </w:rPr>
        <w:t>the information is provided. Please note that we also collect information about data availability and ethics in the submission form.</w:t>
      </w:r>
    </w:p>
    <w:p w14:paraId="25ABA3FA" w14:textId="77777777" w:rsidR="00F102CC" w:rsidRPr="00E2324E" w:rsidRDefault="00F102CC">
      <w:pPr>
        <w:spacing w:before="60" w:line="227" w:lineRule="auto"/>
        <w:rPr>
          <w:rFonts w:ascii="Noto Sans" w:eastAsia="Noto Sans" w:hAnsi="Noto Sans" w:cs="Noto Sans"/>
          <w:b/>
          <w:color w:val="000000" w:themeColor="text1"/>
          <w:sz w:val="18"/>
          <w:szCs w:val="18"/>
          <w:u w:val="single"/>
        </w:rPr>
      </w:pPr>
    </w:p>
    <w:p w14:paraId="44BE6531" w14:textId="77777777" w:rsidR="00F102CC" w:rsidRPr="00E2324E" w:rsidRDefault="00427975">
      <w:pPr>
        <w:spacing w:before="60"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Materials:</w:t>
      </w:r>
    </w:p>
    <w:p w14:paraId="573CEB8E" w14:textId="77777777" w:rsidR="00F102CC" w:rsidRPr="00E2324E" w:rsidRDefault="00427975">
      <w:pPr>
        <w:spacing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E2324E" w:rsidRPr="00E2324E"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60324D" w:rsidR="00F102CC" w:rsidRPr="00E2324E" w:rsidRDefault="00F974C8">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E2324E" w:rsidRDefault="003D5AF6">
            <w:pPr>
              <w:rPr>
                <w:rFonts w:ascii="Noto Sans" w:eastAsia="Noto Sans" w:hAnsi="Noto Sans" w:cs="Noto Sans"/>
                <w:b/>
                <w:color w:val="000000" w:themeColor="text1"/>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E2324E" w:rsidRDefault="00427975">
            <w:pPr>
              <w:spacing w:line="225" w:lineRule="auto"/>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E2324E" w:rsidRDefault="00427975">
            <w:pPr>
              <w:spacing w:line="225" w:lineRule="auto"/>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For commercial reagents, provide supplier name, catalogue number and</w:t>
            </w:r>
            <w:hyperlink r:id="rId12">
              <w:r w:rsidRPr="00E2324E">
                <w:rPr>
                  <w:rFonts w:ascii="Noto Sans" w:eastAsia="Noto Sans" w:hAnsi="Noto Sans" w:cs="Noto Sans"/>
                  <w:color w:val="000000" w:themeColor="text1"/>
                  <w:sz w:val="18"/>
                  <w:szCs w:val="18"/>
                </w:rPr>
                <w:t xml:space="preserve"> </w:t>
              </w:r>
            </w:hyperlink>
            <w:hyperlink r:id="rId13">
              <w:r w:rsidRPr="00E2324E">
                <w:rPr>
                  <w:rFonts w:ascii="Noto Sans" w:eastAsia="Noto Sans" w:hAnsi="Noto Sans" w:cs="Noto Sans"/>
                  <w:color w:val="000000" w:themeColor="text1"/>
                  <w:sz w:val="18"/>
                  <w:szCs w:val="18"/>
                  <w:u w:val="single"/>
                </w:rPr>
                <w:t>RRID</w:t>
              </w:r>
            </w:hyperlink>
            <w:r w:rsidRPr="00E2324E">
              <w:rPr>
                <w:rFonts w:ascii="Noto Sans" w:eastAsia="Noto Sans" w:hAnsi="Noto Sans" w:cs="Noto Sans"/>
                <w:color w:val="000000" w:themeColor="text1"/>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4BEE3D1" w14:textId="77777777" w:rsidR="002F32F6" w:rsidRDefault="009710A1">
            <w:pPr>
              <w:rPr>
                <w:rFonts w:eastAsia="Noto Sans"/>
                <w:bCs/>
                <w:color w:val="000000" w:themeColor="text1"/>
                <w:sz w:val="18"/>
                <w:szCs w:val="18"/>
              </w:rPr>
            </w:pPr>
            <w:r>
              <w:rPr>
                <w:rFonts w:eastAsia="Noto Sans"/>
                <w:bCs/>
                <w:color w:val="000000" w:themeColor="text1"/>
                <w:sz w:val="18"/>
                <w:szCs w:val="18"/>
              </w:rPr>
              <w:t>Glucose from Sigm</w:t>
            </w:r>
            <w:r w:rsidR="00450AAC">
              <w:rPr>
                <w:rFonts w:eastAsia="Noto Sans"/>
                <w:bCs/>
                <w:color w:val="000000" w:themeColor="text1"/>
                <w:sz w:val="18"/>
                <w:szCs w:val="18"/>
              </w:rPr>
              <w:t>a.</w:t>
            </w:r>
          </w:p>
          <w:p w14:paraId="47FC45CC" w14:textId="77777777" w:rsidR="00450AAC" w:rsidRDefault="00450AAC">
            <w:pPr>
              <w:rPr>
                <w:rFonts w:eastAsia="Noto Sans"/>
                <w:bCs/>
                <w:color w:val="000000" w:themeColor="text1"/>
                <w:sz w:val="18"/>
                <w:szCs w:val="18"/>
              </w:rPr>
            </w:pPr>
            <w:r>
              <w:rPr>
                <w:rFonts w:eastAsia="Noto Sans"/>
                <w:bCs/>
                <w:color w:val="000000" w:themeColor="text1"/>
                <w:sz w:val="18"/>
                <w:szCs w:val="18"/>
              </w:rPr>
              <w:t>Insulin from Gibco.</w:t>
            </w:r>
          </w:p>
          <w:p w14:paraId="31209F92" w14:textId="22E72E9E" w:rsidR="00450AAC" w:rsidRPr="00E2324E" w:rsidRDefault="00450AAC">
            <w:pPr>
              <w:rPr>
                <w:rFonts w:eastAsia="Noto Sans"/>
                <w:bCs/>
                <w:color w:val="000000" w:themeColor="text1"/>
                <w:sz w:val="18"/>
                <w:szCs w:val="18"/>
              </w:rPr>
            </w:pPr>
            <w:r w:rsidRPr="00450AAC">
              <w:rPr>
                <w:rFonts w:eastAsia="Noto Sans"/>
                <w:bCs/>
                <w:color w:val="000000" w:themeColor="text1"/>
                <w:sz w:val="18"/>
                <w:szCs w:val="18"/>
              </w:rPr>
              <w:t xml:space="preserve">Serum triglycerides (TG) and cholesterol levels were measured using an Infinity kit (Thermo Fisher Scientific, Middletown, VA). Non-esterified free fatty acids (NEFA) were measured using a Wako kit (Wako Chemicals, Richmond, VA). Serum β-hydroxybutyrate (ketone) concentrations were measured with a </w:t>
            </w:r>
            <w:proofErr w:type="spellStart"/>
            <w:r w:rsidRPr="00450AAC">
              <w:rPr>
                <w:rFonts w:eastAsia="Noto Sans"/>
                <w:bCs/>
                <w:color w:val="000000" w:themeColor="text1"/>
                <w:sz w:val="18"/>
                <w:szCs w:val="18"/>
              </w:rPr>
              <w:t>StanBio</w:t>
            </w:r>
            <w:proofErr w:type="spellEnd"/>
            <w:r w:rsidRPr="00450AAC">
              <w:rPr>
                <w:rFonts w:eastAsia="Noto Sans"/>
                <w:bCs/>
                <w:color w:val="000000" w:themeColor="text1"/>
                <w:sz w:val="18"/>
                <w:szCs w:val="18"/>
              </w:rPr>
              <w:t xml:space="preserve"> </w:t>
            </w:r>
            <w:proofErr w:type="spellStart"/>
            <w:r w:rsidRPr="00450AAC">
              <w:rPr>
                <w:rFonts w:eastAsia="Noto Sans"/>
                <w:bCs/>
                <w:color w:val="000000" w:themeColor="text1"/>
                <w:sz w:val="18"/>
                <w:szCs w:val="18"/>
              </w:rPr>
              <w:t>Liquicolor</w:t>
            </w:r>
            <w:proofErr w:type="spellEnd"/>
            <w:r w:rsidRPr="00450AAC">
              <w:rPr>
                <w:rFonts w:eastAsia="Noto Sans"/>
                <w:bCs/>
                <w:color w:val="000000" w:themeColor="text1"/>
                <w:sz w:val="18"/>
                <w:szCs w:val="18"/>
              </w:rPr>
              <w:t xml:space="preserve"> kit (</w:t>
            </w:r>
            <w:proofErr w:type="spellStart"/>
            <w:r w:rsidRPr="00450AAC">
              <w:rPr>
                <w:rFonts w:eastAsia="Noto Sans"/>
                <w:bCs/>
                <w:color w:val="000000" w:themeColor="text1"/>
                <w:sz w:val="18"/>
                <w:szCs w:val="18"/>
              </w:rPr>
              <w:t>StanBio</w:t>
            </w:r>
            <w:proofErr w:type="spellEnd"/>
            <w:r w:rsidRPr="00450AAC">
              <w:rPr>
                <w:rFonts w:eastAsia="Noto Sans"/>
                <w:bCs/>
                <w:color w:val="000000" w:themeColor="text1"/>
                <w:sz w:val="18"/>
                <w:szCs w:val="18"/>
              </w:rPr>
              <w:t xml:space="preserve"> Laboratory, Boerne, TX). Serum insulin levels were measured by ELISA (Crystal Chem, Elk Grove Village, IL; cat # 90080).  Hydroxyproline assay (Sigma Aldrich, MAK008) was used to quantify total collagen content</w:t>
            </w:r>
            <w:r>
              <w:rPr>
                <w:rFonts w:eastAsia="Noto Sans"/>
                <w:bCs/>
                <w:color w:val="000000" w:themeColor="text1"/>
                <w:sz w:val="18"/>
                <w:szCs w:val="18"/>
              </w:rPr>
              <w:t xml:space="preserve">. </w:t>
            </w:r>
            <w:r w:rsidRPr="00450AAC">
              <w:rPr>
                <w:rFonts w:eastAsia="Noto Sans"/>
                <w:bCs/>
                <w:color w:val="000000" w:themeColor="text1"/>
                <w:sz w:val="18"/>
                <w:szCs w:val="18"/>
              </w:rPr>
              <w:t xml:space="preserve">Lipid peroxidation levels (marker of oxidative stress) in the liver and adipose tissues were assessed by the quantification of malondialdehyde (MDA) via </w:t>
            </w:r>
            <w:proofErr w:type="spellStart"/>
            <w:r w:rsidRPr="00450AAC">
              <w:rPr>
                <w:rFonts w:eastAsia="Noto Sans"/>
                <w:bCs/>
                <w:color w:val="000000" w:themeColor="text1"/>
                <w:sz w:val="18"/>
                <w:szCs w:val="18"/>
              </w:rPr>
              <w:t>Thiobarbituric</w:t>
            </w:r>
            <w:proofErr w:type="spellEnd"/>
            <w:r w:rsidRPr="00450AAC">
              <w:rPr>
                <w:rFonts w:eastAsia="Noto Sans"/>
                <w:bCs/>
                <w:color w:val="000000" w:themeColor="text1"/>
                <w:sz w:val="18"/>
                <w:szCs w:val="18"/>
              </w:rPr>
              <w:t xml:space="preserve"> Acid Reactive Substances (TBARS) assay (Cayman Chemical, 700870).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E2324E" w:rsidRDefault="00F102CC">
            <w:pPr>
              <w:rPr>
                <w:rFonts w:ascii="Noto Sans" w:eastAsia="Noto Sans" w:hAnsi="Noto Sans" w:cs="Noto Sans"/>
                <w:bCs/>
                <w:color w:val="000000" w:themeColor="text1"/>
                <w:sz w:val="18"/>
                <w:szCs w:val="18"/>
              </w:rPr>
            </w:pPr>
          </w:p>
        </w:tc>
      </w:tr>
      <w:tr w:rsidR="00E2324E" w:rsidRPr="00E2324E"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Indicate where provided: </w:t>
            </w:r>
            <w:r w:rsidRPr="00E2324E">
              <w:rPr>
                <w:rFonts w:ascii="Noto Sans" w:eastAsia="Noto Sans" w:hAnsi="Noto Sans" w:cs="Noto Sans"/>
                <w:b/>
                <w:color w:val="000000" w:themeColor="text1"/>
                <w:sz w:val="18"/>
                <w:szCs w:val="18"/>
              </w:rPr>
              <w:lastRenderedPageBreak/>
              <w:t>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lastRenderedPageBreak/>
              <w:t>N/A</w:t>
            </w:r>
          </w:p>
        </w:tc>
      </w:tr>
      <w:tr w:rsidR="00E2324E" w:rsidRPr="00E2324E"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99BB242" w14:textId="213E99EA" w:rsidR="002F32F6" w:rsidRPr="00E2324E" w:rsidRDefault="002F32F6">
            <w:pPr>
              <w:rPr>
                <w:rFonts w:asciiTheme="majorHAnsi" w:hAnsiTheme="majorHAnsi" w:cstheme="majorHAnsi"/>
                <w:color w:val="000000" w:themeColor="text1"/>
                <w:sz w:val="18"/>
                <w:szCs w:val="18"/>
              </w:rPr>
            </w:pPr>
            <w:r w:rsidRPr="00E2324E">
              <w:rPr>
                <w:rFonts w:asciiTheme="majorHAnsi" w:hAnsiTheme="majorHAnsi" w:cstheme="majorHAnsi"/>
                <w:color w:val="000000" w:themeColor="text1"/>
                <w:sz w:val="18"/>
                <w:szCs w:val="18"/>
              </w:rPr>
              <w:t xml:space="preserve">For </w:t>
            </w:r>
            <w:r w:rsidR="009710A1">
              <w:rPr>
                <w:rFonts w:asciiTheme="majorHAnsi" w:hAnsiTheme="majorHAnsi" w:cstheme="majorHAnsi"/>
                <w:color w:val="000000" w:themeColor="text1"/>
                <w:sz w:val="18"/>
                <w:szCs w:val="18"/>
              </w:rPr>
              <w:t>CTRP10/C1QL2</w:t>
            </w:r>
            <w:r w:rsidRPr="00E2324E">
              <w:rPr>
                <w:rFonts w:asciiTheme="majorHAnsi" w:hAnsiTheme="majorHAnsi" w:cstheme="majorHAnsi"/>
                <w:color w:val="000000" w:themeColor="text1"/>
                <w:sz w:val="18"/>
                <w:szCs w:val="18"/>
              </w:rPr>
              <w:t xml:space="preserve">-null mouse generation: the two guide RNAs (gRNA) used were </w:t>
            </w:r>
            <w:r w:rsidR="009710A1" w:rsidRPr="009710A1">
              <w:rPr>
                <w:rFonts w:asciiTheme="majorHAnsi" w:hAnsiTheme="majorHAnsi" w:cstheme="majorHAnsi"/>
                <w:color w:val="000000" w:themeColor="text1"/>
                <w:sz w:val="18"/>
                <w:szCs w:val="18"/>
              </w:rPr>
              <w:t>5’-CCGGCGCC GCTCCACCATTACCT-3’ and 5’-TCAGGCCACCCCATCCCCATCGG-3’</w:t>
            </w:r>
          </w:p>
          <w:p w14:paraId="49306869" w14:textId="45690FFB" w:rsidR="009710A1" w:rsidRDefault="009710A1">
            <w:pPr>
              <w:rPr>
                <w:rFonts w:asciiTheme="majorHAnsi" w:hAnsiTheme="majorHAnsi" w:cstheme="majorHAnsi"/>
                <w:color w:val="000000" w:themeColor="text1"/>
                <w:sz w:val="18"/>
                <w:szCs w:val="18"/>
              </w:rPr>
            </w:pPr>
          </w:p>
          <w:p w14:paraId="6A96DAE3" w14:textId="1156B73F" w:rsidR="009710A1" w:rsidRDefault="009710A1">
            <w:pPr>
              <w:rPr>
                <w:rFonts w:asciiTheme="majorHAnsi" w:hAnsiTheme="majorHAnsi" w:cstheme="majorHAnsi"/>
                <w:color w:val="000000" w:themeColor="text1"/>
                <w:sz w:val="18"/>
                <w:szCs w:val="18"/>
              </w:rPr>
            </w:pPr>
            <w:r w:rsidRPr="009710A1">
              <w:rPr>
                <w:rFonts w:asciiTheme="majorHAnsi" w:hAnsiTheme="majorHAnsi" w:cstheme="majorHAnsi"/>
                <w:color w:val="000000" w:themeColor="text1"/>
                <w:sz w:val="18"/>
                <w:szCs w:val="18"/>
              </w:rPr>
              <w:t xml:space="preserve">Genotyping primers for </w:t>
            </w:r>
            <w:r w:rsidRPr="009710A1">
              <w:rPr>
                <w:rFonts w:asciiTheme="majorHAnsi" w:hAnsiTheme="majorHAnsi" w:cstheme="majorHAnsi"/>
                <w:i/>
                <w:iCs/>
                <w:color w:val="000000" w:themeColor="text1"/>
                <w:sz w:val="18"/>
                <w:szCs w:val="18"/>
              </w:rPr>
              <w:t>Ctrp10</w:t>
            </w:r>
            <w:r>
              <w:rPr>
                <w:rFonts w:asciiTheme="majorHAnsi" w:hAnsiTheme="majorHAnsi" w:cstheme="majorHAnsi"/>
                <w:color w:val="000000" w:themeColor="text1"/>
                <w:sz w:val="18"/>
                <w:szCs w:val="18"/>
              </w:rPr>
              <w:t xml:space="preserve"> </w:t>
            </w:r>
            <w:r w:rsidRPr="009710A1">
              <w:rPr>
                <w:rFonts w:asciiTheme="majorHAnsi" w:hAnsiTheme="majorHAnsi" w:cstheme="majorHAnsi"/>
                <w:color w:val="000000" w:themeColor="text1"/>
                <w:sz w:val="18"/>
                <w:szCs w:val="18"/>
              </w:rPr>
              <w:t xml:space="preserve">WT allele were forward (m10-Com-F) 5’-TGTCGGGCTCTTCGACTCTCCA-3’ and reverse (m10-WT-R) 5’-GCATCTCGT AGTGAGCCGCTCC-3’. The size of the WT band was 360 bp. Genotyping primers for the </w:t>
            </w:r>
            <w:r w:rsidRPr="009710A1">
              <w:rPr>
                <w:rFonts w:asciiTheme="majorHAnsi" w:hAnsiTheme="majorHAnsi" w:cstheme="majorHAnsi"/>
                <w:i/>
                <w:iCs/>
                <w:color w:val="000000" w:themeColor="text1"/>
                <w:sz w:val="18"/>
                <w:szCs w:val="18"/>
              </w:rPr>
              <w:t>Ctrp10</w:t>
            </w:r>
            <w:r w:rsidRPr="009710A1">
              <w:rPr>
                <w:rFonts w:asciiTheme="majorHAnsi" w:hAnsiTheme="majorHAnsi" w:cstheme="majorHAnsi"/>
                <w:color w:val="000000" w:themeColor="text1"/>
                <w:sz w:val="18"/>
                <w:szCs w:val="18"/>
              </w:rPr>
              <w:t xml:space="preserve"> KO allele were forward (m10-Com-F) 5’-TGTCGGGCTCTTCGACTCTCCA-3’ and reverse (m10-Mut-R1) 5’-GTCCAATCAGCT TTCTCAAGTCTGG-3’. The size of the KO band was 422 bp.</w:t>
            </w:r>
          </w:p>
          <w:p w14:paraId="220B6931" w14:textId="7D3A6CB3" w:rsidR="00F907BD" w:rsidRPr="00467EE6" w:rsidRDefault="00F907BD">
            <w:pPr>
              <w:rPr>
                <w:rFonts w:asciiTheme="majorHAnsi" w:hAnsiTheme="majorHAnsi" w:cstheme="majorHAnsi"/>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E2324E" w:rsidRDefault="00F102CC">
            <w:pPr>
              <w:rPr>
                <w:rFonts w:ascii="Noto Sans" w:eastAsia="Noto Sans" w:hAnsi="Noto Sans" w:cs="Noto Sans"/>
                <w:bCs/>
                <w:color w:val="000000" w:themeColor="text1"/>
                <w:sz w:val="18"/>
                <w:szCs w:val="18"/>
              </w:rPr>
            </w:pPr>
          </w:p>
        </w:tc>
      </w:tr>
      <w:tr w:rsidR="00E2324E" w:rsidRPr="00E2324E"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376D0F" w:rsidR="00F102CC" w:rsidRPr="00E2324E" w:rsidRDefault="00F102CC">
            <w:pPr>
              <w:rPr>
                <w:rFonts w:eastAsia="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5FC3AC" w:rsidR="00F102CC" w:rsidRPr="00E2324E" w:rsidRDefault="009710A1">
            <w:pPr>
              <w:rPr>
                <w:rFonts w:eastAsia="Noto Sans"/>
                <w:bCs/>
                <w:color w:val="000000" w:themeColor="text1"/>
                <w:sz w:val="18"/>
                <w:szCs w:val="18"/>
              </w:rPr>
            </w:pPr>
            <w:r>
              <w:rPr>
                <w:rFonts w:eastAsia="Noto Sans"/>
                <w:bCs/>
                <w:color w:val="000000" w:themeColor="text1"/>
                <w:sz w:val="18"/>
                <w:szCs w:val="18"/>
              </w:rPr>
              <w:t>X</w:t>
            </w:r>
          </w:p>
        </w:tc>
      </w:tr>
      <w:tr w:rsidR="00E2324E" w:rsidRPr="00E2324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Primary cultures: Provide species, strain, sex of origin, genetic modification status.</w:t>
            </w:r>
            <w:r w:rsidR="00C84413" w:rsidRPr="00E2324E">
              <w:rPr>
                <w:rFonts w:ascii="Noto Sans" w:eastAsia="Noto Sans" w:hAnsi="Noto Sans" w:cs="Noto Sans"/>
                <w:color w:val="000000" w:themeColor="text1"/>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2DFE3E" w:rsidR="00F102CC" w:rsidRPr="00E2324E" w:rsidRDefault="0063736C">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FC05149" w14:textId="77777777" w:rsidR="00F102CC" w:rsidRPr="00E2324E" w:rsidRDefault="00FC1B4D">
            <w:pPr>
              <w:rPr>
                <w:rFonts w:asciiTheme="majorHAnsi" w:eastAsia="Noto Sans" w:hAnsiTheme="majorHAnsi" w:cstheme="majorHAnsi"/>
                <w:bCs/>
                <w:color w:val="000000" w:themeColor="text1"/>
                <w:sz w:val="18"/>
                <w:szCs w:val="18"/>
              </w:rPr>
            </w:pPr>
            <w:r w:rsidRPr="00E2324E">
              <w:rPr>
                <w:rFonts w:asciiTheme="majorHAnsi" w:eastAsia="Noto Sans" w:hAnsiTheme="majorHAnsi" w:cstheme="majorHAnsi"/>
                <w:bCs/>
                <w:i/>
                <w:color w:val="000000" w:themeColor="text1"/>
                <w:sz w:val="18"/>
                <w:szCs w:val="18"/>
              </w:rPr>
              <w:t>Mus musculus</w:t>
            </w:r>
            <w:r w:rsidRPr="00E2324E">
              <w:rPr>
                <w:rFonts w:asciiTheme="majorHAnsi" w:eastAsia="Noto Sans" w:hAnsiTheme="majorHAnsi" w:cstheme="majorHAnsi"/>
                <w:bCs/>
                <w:color w:val="000000" w:themeColor="text1"/>
                <w:sz w:val="18"/>
                <w:szCs w:val="18"/>
              </w:rPr>
              <w:t xml:space="preserve">, C57BL/6J </w:t>
            </w:r>
            <w:r w:rsidR="000F78E8" w:rsidRPr="00E2324E">
              <w:rPr>
                <w:rFonts w:asciiTheme="majorHAnsi" w:eastAsia="Noto Sans" w:hAnsiTheme="majorHAnsi" w:cstheme="majorHAnsi"/>
                <w:bCs/>
                <w:color w:val="000000" w:themeColor="text1"/>
                <w:sz w:val="18"/>
                <w:szCs w:val="18"/>
              </w:rPr>
              <w:t>RRID: IMSR_JAX:0</w:t>
            </w:r>
            <w:r w:rsidR="00361763" w:rsidRPr="00E2324E">
              <w:rPr>
                <w:rFonts w:asciiTheme="majorHAnsi" w:eastAsia="Noto Sans" w:hAnsiTheme="majorHAnsi" w:cstheme="majorHAnsi"/>
                <w:bCs/>
                <w:color w:val="000000" w:themeColor="text1"/>
                <w:sz w:val="18"/>
                <w:szCs w:val="18"/>
              </w:rPr>
              <w:t>00664</w:t>
            </w:r>
            <w:r w:rsidR="000F78E8" w:rsidRPr="00E2324E">
              <w:rPr>
                <w:rFonts w:asciiTheme="majorHAnsi" w:eastAsia="Noto Sans" w:hAnsiTheme="majorHAnsi" w:cstheme="majorHAnsi"/>
                <w:bCs/>
                <w:color w:val="000000" w:themeColor="text1"/>
                <w:sz w:val="18"/>
                <w:szCs w:val="18"/>
              </w:rPr>
              <w:t>.</w:t>
            </w:r>
          </w:p>
          <w:p w14:paraId="228A64E8" w14:textId="3BEC2AEC" w:rsidR="00361763" w:rsidRPr="00E2324E" w:rsidRDefault="009710A1">
            <w:pPr>
              <w:rPr>
                <w:rFonts w:eastAsia="Noto Sans"/>
                <w:bCs/>
                <w:color w:val="000000" w:themeColor="text1"/>
                <w:sz w:val="18"/>
                <w:szCs w:val="18"/>
              </w:rPr>
            </w:pPr>
            <w:r w:rsidRPr="009710A1">
              <w:rPr>
                <w:rFonts w:asciiTheme="majorHAnsi" w:hAnsiTheme="majorHAnsi" w:cstheme="majorHAnsi"/>
                <w:color w:val="000000" w:themeColor="text1"/>
                <w:sz w:val="18"/>
                <w:szCs w:val="18"/>
              </w:rPr>
              <w:t>The Ctrp10/C1ql2-KO mice (C57BL/6NCrl-C1ql2em1(IMPC)</w:t>
            </w:r>
            <w:proofErr w:type="spellStart"/>
            <w:r w:rsidRPr="009710A1">
              <w:rPr>
                <w:rFonts w:asciiTheme="majorHAnsi" w:hAnsiTheme="majorHAnsi" w:cstheme="majorHAnsi"/>
                <w:color w:val="000000" w:themeColor="text1"/>
                <w:sz w:val="18"/>
                <w:szCs w:val="18"/>
              </w:rPr>
              <w:t>Mbp</w:t>
            </w:r>
            <w:proofErr w:type="spellEnd"/>
            <w:r w:rsidRPr="009710A1">
              <w:rPr>
                <w:rFonts w:asciiTheme="majorHAnsi" w:hAnsiTheme="majorHAnsi" w:cstheme="majorHAnsi"/>
                <w:color w:val="000000" w:themeColor="text1"/>
                <w:sz w:val="18"/>
                <w:szCs w:val="18"/>
              </w:rPr>
              <w:t>/</w:t>
            </w:r>
            <w:proofErr w:type="spellStart"/>
            <w:r w:rsidRPr="009710A1">
              <w:rPr>
                <w:rFonts w:asciiTheme="majorHAnsi" w:hAnsiTheme="majorHAnsi" w:cstheme="majorHAnsi"/>
                <w:color w:val="000000" w:themeColor="text1"/>
                <w:sz w:val="18"/>
                <w:szCs w:val="18"/>
              </w:rPr>
              <w:t>Mmucd</w:t>
            </w:r>
            <w:proofErr w:type="spellEnd"/>
            <w:r w:rsidRPr="009710A1">
              <w:rPr>
                <w:rFonts w:asciiTheme="majorHAnsi" w:hAnsiTheme="majorHAnsi" w:cstheme="majorHAnsi"/>
                <w:color w:val="000000" w:themeColor="text1"/>
                <w:sz w:val="18"/>
                <w:szCs w:val="18"/>
              </w:rPr>
              <w:t xml:space="preserve">; stock number 050587-UCD) were generated using the CRISPR-cas9 method at UC Davis. </w:t>
            </w:r>
            <w:r>
              <w:rPr>
                <w:rFonts w:asciiTheme="majorHAnsi" w:hAnsiTheme="majorHAnsi" w:cstheme="majorHAnsi"/>
                <w:color w:val="000000" w:themeColor="text1"/>
                <w:sz w:val="18"/>
                <w:szCs w:val="18"/>
              </w:rPr>
              <w:t>T</w:t>
            </w:r>
            <w:r w:rsidRPr="009710A1">
              <w:rPr>
                <w:rFonts w:asciiTheme="majorHAnsi" w:hAnsiTheme="majorHAnsi" w:cstheme="majorHAnsi"/>
                <w:color w:val="000000" w:themeColor="text1"/>
                <w:sz w:val="18"/>
                <w:szCs w:val="18"/>
              </w:rPr>
              <w:t>he Ctrp10 gene consists of 2 exons. The entire protein coding region spanning exon 1 and 2 was deleted. This KO strategy ensures a complete null allele for Ctrp10</w:t>
            </w:r>
            <w:r w:rsidR="00361763" w:rsidRPr="00E2324E">
              <w:rPr>
                <w:rFonts w:asciiTheme="majorHAnsi" w:eastAsia="SimSun" w:hAnsiTheme="majorHAnsi" w:cstheme="majorHAnsi"/>
                <w:bCs/>
                <w:color w:val="000000" w:themeColor="text1"/>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E2324E" w:rsidRDefault="00F102CC">
            <w:pPr>
              <w:rPr>
                <w:rFonts w:ascii="Noto Sans" w:eastAsia="Noto Sans" w:hAnsi="Noto Sans" w:cs="Noto Sans"/>
                <w:bCs/>
                <w:color w:val="000000" w:themeColor="text1"/>
                <w:sz w:val="18"/>
                <w:szCs w:val="18"/>
              </w:rPr>
            </w:pPr>
          </w:p>
        </w:tc>
      </w:tr>
      <w:tr w:rsidR="00E2324E" w:rsidRPr="00E2324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6736D0" w:rsidR="00F102CC" w:rsidRPr="00E2324E" w:rsidRDefault="002F3941">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lastRenderedPageBreak/>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color w:val="000000" w:themeColor="text1"/>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743B44" w:rsidR="00F102CC" w:rsidRPr="00E2324E" w:rsidRDefault="00D662D5">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128336" w:rsidR="00F102CC" w:rsidRPr="00E2324E" w:rsidRDefault="00D662D5">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E2324E" w:rsidRDefault="00F102CC">
            <w:pPr>
              <w:spacing w:line="225" w:lineRule="auto"/>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F102CC" w:rsidRPr="00E2324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E2324E" w:rsidRDefault="00427975">
            <w:pPr>
              <w:spacing w:line="225" w:lineRule="auto"/>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If collected and within the bounds of privacy constraints report on age, sex</w:t>
            </w:r>
            <w:r w:rsidR="00A11E52" w:rsidRPr="00E2324E">
              <w:rPr>
                <w:rFonts w:ascii="Noto Sans" w:eastAsia="Noto Sans" w:hAnsi="Noto Sans" w:cs="Noto Sans"/>
                <w:color w:val="000000" w:themeColor="text1"/>
                <w:sz w:val="18"/>
                <w:szCs w:val="18"/>
              </w:rPr>
              <w:t xml:space="preserve">, </w:t>
            </w:r>
            <w:r w:rsidRPr="00E2324E">
              <w:rPr>
                <w:rFonts w:ascii="Noto Sans" w:eastAsia="Noto Sans" w:hAnsi="Noto Sans" w:cs="Noto Sans"/>
                <w:color w:val="000000" w:themeColor="text1"/>
                <w:sz w:val="18"/>
                <w:szCs w:val="18"/>
              </w:rPr>
              <w:t xml:space="preserve">gender </w:t>
            </w:r>
            <w:r w:rsidR="00A11E52" w:rsidRPr="00E2324E">
              <w:rPr>
                <w:rFonts w:ascii="Noto Sans" w:eastAsia="Noto Sans" w:hAnsi="Noto Sans" w:cs="Noto Sans"/>
                <w:color w:val="000000" w:themeColor="text1"/>
                <w:sz w:val="18"/>
                <w:szCs w:val="18"/>
              </w:rPr>
              <w:t>and</w:t>
            </w:r>
            <w:r w:rsidRPr="00E2324E">
              <w:rPr>
                <w:rFonts w:ascii="Noto Sans" w:eastAsia="Noto Sans" w:hAnsi="Noto Sans" w:cs="Noto Sans"/>
                <w:color w:val="000000" w:themeColor="text1"/>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46BAE1" w:rsidR="00F102CC" w:rsidRPr="00E2324E" w:rsidRDefault="005C40C4">
            <w:pPr>
              <w:rPr>
                <w:rFonts w:eastAsia="Noto Sans"/>
                <w:b/>
                <w:color w:val="000000" w:themeColor="text1"/>
                <w:sz w:val="18"/>
                <w:szCs w:val="18"/>
              </w:rPr>
            </w:pPr>
            <w:r w:rsidRPr="00E2324E">
              <w:rPr>
                <w:rFonts w:eastAsia="Noto Sans"/>
                <w:b/>
                <w:color w:val="000000" w:themeColor="text1"/>
                <w:sz w:val="18"/>
                <w:szCs w:val="18"/>
              </w:rPr>
              <w:t>X</w:t>
            </w:r>
          </w:p>
        </w:tc>
      </w:tr>
    </w:tbl>
    <w:p w14:paraId="758A97A0" w14:textId="77777777" w:rsidR="00F102CC" w:rsidRPr="00E2324E" w:rsidRDefault="00F102CC">
      <w:pPr>
        <w:spacing w:before="80" w:line="227" w:lineRule="auto"/>
        <w:rPr>
          <w:rFonts w:ascii="Noto Sans" w:eastAsia="Noto Sans" w:hAnsi="Noto Sans" w:cs="Noto Sans"/>
          <w:b/>
          <w:color w:val="000000" w:themeColor="text1"/>
          <w:sz w:val="18"/>
          <w:szCs w:val="18"/>
          <w:u w:val="single"/>
        </w:rPr>
      </w:pPr>
    </w:p>
    <w:p w14:paraId="60E7D3C1" w14:textId="77777777" w:rsidR="00F102CC" w:rsidRPr="00E2324E" w:rsidRDefault="00427975">
      <w:pPr>
        <w:spacing w:before="80" w:line="227" w:lineRule="auto"/>
        <w:rPr>
          <w:rFonts w:ascii="Noto Sans" w:eastAsia="Noto Sans" w:hAnsi="Noto Sans" w:cs="Noto Sans"/>
          <w:b/>
          <w:color w:val="000000" w:themeColor="text1"/>
          <w:sz w:val="18"/>
          <w:szCs w:val="18"/>
        </w:rPr>
      </w:pPr>
      <w:bookmarkStart w:id="1" w:name="_ff5b8dustxkx" w:colFirst="0" w:colLast="0"/>
      <w:bookmarkEnd w:id="1"/>
      <w:r w:rsidRPr="00E2324E">
        <w:rPr>
          <w:rFonts w:ascii="Noto Sans" w:eastAsia="Noto Sans" w:hAnsi="Noto Sans" w:cs="Noto Sans"/>
          <w:b/>
          <w:color w:val="000000" w:themeColor="text1"/>
          <w:sz w:val="18"/>
          <w:szCs w:val="18"/>
        </w:rPr>
        <w:t>Design:</w:t>
      </w:r>
    </w:p>
    <w:p w14:paraId="38B36C0E" w14:textId="77777777" w:rsidR="00F102CC" w:rsidRPr="00E2324E" w:rsidRDefault="00427975">
      <w:pPr>
        <w:spacing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E2324E" w:rsidRPr="00E2324E"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103FB6" w:rsidR="00F102CC" w:rsidRPr="00E2324E" w:rsidRDefault="00DE5730">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color w:val="000000" w:themeColor="text1"/>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2A828B" w:rsidR="00F102CC" w:rsidRPr="00E2324E" w:rsidRDefault="005464F1">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Experimental study design (statistics </w:t>
            </w:r>
            <w:r w:rsidR="001B3BCC" w:rsidRPr="00E2324E">
              <w:rPr>
                <w:rFonts w:ascii="Noto Sans" w:eastAsia="Noto Sans" w:hAnsi="Noto Sans" w:cs="Noto Sans"/>
                <w:b/>
                <w:color w:val="000000" w:themeColor="text1"/>
                <w:sz w:val="18"/>
                <w:szCs w:val="18"/>
              </w:rPr>
              <w:t>details) *</w:t>
            </w:r>
          </w:p>
        </w:tc>
      </w:tr>
      <w:tr w:rsidR="00E2324E" w:rsidRPr="00E2324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DCC8DB" w:rsidR="00F102CC" w:rsidRPr="00E2324E" w:rsidRDefault="005F6445">
            <w:pPr>
              <w:spacing w:line="225" w:lineRule="auto"/>
              <w:rPr>
                <w:rFonts w:eastAsia="Noto Sans"/>
                <w:bCs/>
                <w:color w:val="000000" w:themeColor="text1"/>
                <w:sz w:val="18"/>
                <w:szCs w:val="18"/>
              </w:rPr>
            </w:pPr>
            <w:r w:rsidRPr="00E2324E">
              <w:rPr>
                <w:rFonts w:eastAsia="Noto Sans"/>
                <w:bCs/>
                <w:color w:val="000000" w:themeColor="text1"/>
                <w:sz w:val="18"/>
                <w:szCs w:val="18"/>
              </w:rPr>
              <w:t>For all assays sample size is listed in each figure legend</w:t>
            </w:r>
            <w:r w:rsidR="00457889" w:rsidRPr="00E2324E">
              <w:rPr>
                <w:rFonts w:eastAsia="Noto Sans"/>
                <w:bCs/>
                <w:color w:val="000000" w:themeColor="text1"/>
                <w:sz w:val="18"/>
                <w:szCs w:val="18"/>
              </w:rPr>
              <w:t>, and where possible all data points are shown to visualize data spread</w:t>
            </w:r>
            <w:r w:rsidRPr="00E2324E">
              <w:rPr>
                <w:rFonts w:eastAsia="Noto Sans"/>
                <w:bCs/>
                <w:color w:val="000000" w:themeColor="text1"/>
                <w:sz w:val="18"/>
                <w:szCs w:val="18"/>
              </w:rPr>
              <w:t xml:space="preserve">. A maximum number of mice/biological samples were used.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335B09" w:rsidR="00F102CC" w:rsidRPr="00E2324E" w:rsidRDefault="00F102CC">
            <w:pPr>
              <w:spacing w:line="225" w:lineRule="auto"/>
              <w:rPr>
                <w:rFonts w:eastAsia="Noto Sans"/>
                <w:bCs/>
                <w:color w:val="000000" w:themeColor="text1"/>
                <w:sz w:val="18"/>
                <w:szCs w:val="18"/>
              </w:rPr>
            </w:pPr>
          </w:p>
        </w:tc>
      </w:tr>
      <w:tr w:rsidR="00E2324E" w:rsidRPr="00E2324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E2324E" w:rsidRDefault="00427975">
            <w:pPr>
              <w:rPr>
                <w:rFonts w:ascii="Noto Sans" w:eastAsia="Noto Sans" w:hAnsi="Noto Sans" w:cs="Noto Sans"/>
                <w:color w:val="000000" w:themeColor="text1"/>
                <w:sz w:val="18"/>
                <w:szCs w:val="18"/>
              </w:rPr>
            </w:pPr>
            <w:proofErr w:type="spellStart"/>
            <w:r w:rsidRPr="00E2324E">
              <w:rPr>
                <w:rFonts w:ascii="Noto Sans" w:eastAsia="Noto Sans" w:hAnsi="Noto Sans" w:cs="Noto Sans"/>
                <w:color w:val="000000" w:themeColor="text1"/>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200962D" w:rsidR="00F102CC" w:rsidRPr="00E2324E" w:rsidRDefault="00F102CC">
            <w:pPr>
              <w:spacing w:line="225" w:lineRule="auto"/>
              <w:rPr>
                <w:rFonts w:eastAsia="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EACDC6" w:rsidR="00F102CC" w:rsidRPr="00E2324E" w:rsidRDefault="00457889">
            <w:pPr>
              <w:spacing w:line="225" w:lineRule="auto"/>
              <w:rPr>
                <w:rFonts w:eastAsia="Noto Sans"/>
                <w:b/>
                <w:color w:val="000000" w:themeColor="text1"/>
                <w:sz w:val="18"/>
                <w:szCs w:val="18"/>
              </w:rPr>
            </w:pPr>
            <w:r w:rsidRPr="00E2324E">
              <w:rPr>
                <w:rFonts w:eastAsia="Noto Sans"/>
                <w:bCs/>
                <w:color w:val="000000" w:themeColor="text1"/>
                <w:sz w:val="18"/>
                <w:szCs w:val="18"/>
              </w:rPr>
              <w:t>X</w:t>
            </w:r>
          </w:p>
        </w:tc>
      </w:tr>
      <w:tr w:rsidR="00E2324E" w:rsidRPr="00E2324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5EA5F9" w:rsidR="00F102CC" w:rsidRPr="00E2324E" w:rsidRDefault="00F102CC">
            <w:pPr>
              <w:spacing w:line="225" w:lineRule="auto"/>
              <w:rPr>
                <w:rFonts w:eastAsia="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12118F" w:rsidR="00F102CC" w:rsidRPr="00E2324E" w:rsidRDefault="00457889">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lastRenderedPageBreak/>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DA5CE5" w:rsidR="00F102CC" w:rsidRPr="00E2324E" w:rsidRDefault="00B465D9">
            <w:pPr>
              <w:spacing w:line="225" w:lineRule="auto"/>
              <w:rPr>
                <w:rFonts w:eastAsia="Noto Sans"/>
                <w:bCs/>
                <w:color w:val="000000" w:themeColor="text1"/>
                <w:sz w:val="18"/>
                <w:szCs w:val="18"/>
              </w:rPr>
            </w:pPr>
            <w:r w:rsidRPr="00E2324E">
              <w:rPr>
                <w:rFonts w:eastAsia="Noto Sans"/>
                <w:bCs/>
                <w:color w:val="000000" w:themeColor="text1"/>
                <w:sz w:val="18"/>
                <w:szCs w:val="18"/>
              </w:rPr>
              <w:t xml:space="preserve">All mice were included </w:t>
            </w:r>
          </w:p>
        </w:tc>
      </w:tr>
      <w:tr w:rsidR="00E2324E" w:rsidRPr="00E2324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highlight w:val="white"/>
              </w:rPr>
              <w:t>State number of times the experiment was replicated in the laboratory</w:t>
            </w:r>
            <w:r w:rsidRPr="00E2324E">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53CB67" w:rsidR="00F102CC" w:rsidRPr="00E2324E" w:rsidRDefault="00E2324E">
            <w:pPr>
              <w:spacing w:line="225" w:lineRule="auto"/>
              <w:rPr>
                <w:rFonts w:eastAsia="Noto Sans"/>
                <w:bCs/>
                <w:color w:val="000000" w:themeColor="text1"/>
                <w:sz w:val="18"/>
                <w:szCs w:val="18"/>
              </w:rPr>
            </w:pPr>
            <w:r w:rsidRPr="00E2324E">
              <w:rPr>
                <w:rFonts w:eastAsia="Noto Sans"/>
                <w:bCs/>
                <w:color w:val="000000" w:themeColor="text1"/>
                <w:sz w:val="18"/>
                <w:szCs w:val="18"/>
              </w:rPr>
              <w:t>All mouse experiments were done once with high sample size from many separate breeding pairs of mice.</w:t>
            </w:r>
            <w:r w:rsidR="009710A1">
              <w:rPr>
                <w:rFonts w:eastAsia="Noto Sans"/>
                <w:bCs/>
                <w:color w:val="000000" w:themeColor="text1"/>
                <w:sz w:val="18"/>
                <w:szCs w:val="18"/>
              </w:rPr>
              <w:t xml:space="preserve"> Littermates were used as wild-type (WT) controls. </w:t>
            </w:r>
            <w:r w:rsidRPr="00E2324E">
              <w:rPr>
                <w:rFonts w:eastAsia="Noto Sans"/>
                <w:bCs/>
                <w:color w:val="000000" w:themeColor="text1"/>
                <w:sz w:val="18"/>
                <w:szCs w:val="18"/>
              </w:rPr>
              <w:t xml:space="preserve"> </w:t>
            </w:r>
            <w:r w:rsidR="00A33678" w:rsidRPr="00E2324E">
              <w:rPr>
                <w:rFonts w:eastAsia="Noto Sans"/>
                <w:bCs/>
                <w:color w:val="000000" w:themeColor="text1"/>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highlight w:val="white"/>
              </w:rPr>
              <w:t>Define whether data describe technical or biological replicates</w:t>
            </w:r>
            <w:r w:rsidRPr="00E2324E">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1E1EB9" w:rsidR="00F102CC" w:rsidRPr="00E2324E" w:rsidRDefault="000F3EA3">
            <w:pPr>
              <w:spacing w:line="225" w:lineRule="auto"/>
              <w:rPr>
                <w:rFonts w:eastAsia="Noto Sans"/>
                <w:bCs/>
                <w:color w:val="000000" w:themeColor="text1"/>
                <w:sz w:val="18"/>
                <w:szCs w:val="18"/>
              </w:rPr>
            </w:pPr>
            <w:r w:rsidRPr="00E2324E">
              <w:rPr>
                <w:rFonts w:eastAsia="Noto Sans"/>
                <w:bCs/>
                <w:color w:val="000000" w:themeColor="text1"/>
                <w:sz w:val="18"/>
                <w:szCs w:val="18"/>
              </w:rPr>
              <w:t xml:space="preserve">All data presented is from biological replicates unless otherwise stated in the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E2324E" w:rsidRDefault="00F102CC">
            <w:pPr>
              <w:rPr>
                <w:rFonts w:ascii="Noto Sans" w:eastAsia="Noto Sans" w:hAnsi="Noto Sans" w:cs="Noto Sans"/>
                <w:b/>
                <w:color w:val="000000" w:themeColor="text1"/>
                <w:sz w:val="18"/>
                <w:szCs w:val="18"/>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E2324E" w:rsidRDefault="00F102CC">
            <w:pPr>
              <w:spacing w:line="225" w:lineRule="auto"/>
              <w:rPr>
                <w:rFonts w:ascii="Noto Sans" w:eastAsia="Noto Sans" w:hAnsi="Noto Sans" w:cs="Noto Sans"/>
                <w:b/>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8D6F88" w:rsidR="00F102CC" w:rsidRPr="00E2324E" w:rsidRDefault="000F3EA3">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FBD0B95" w:rsidR="00F102CC" w:rsidRPr="00E2324E" w:rsidRDefault="004132E7">
            <w:pPr>
              <w:spacing w:line="225" w:lineRule="auto"/>
              <w:rPr>
                <w:rFonts w:eastAsia="Noto Sans"/>
                <w:bCs/>
                <w:color w:val="000000" w:themeColor="text1"/>
                <w:sz w:val="18"/>
                <w:szCs w:val="18"/>
              </w:rPr>
            </w:pPr>
            <w:r w:rsidRPr="00E2324E">
              <w:rPr>
                <w:rFonts w:eastAsia="Noto Sans"/>
                <w:bCs/>
                <w:color w:val="000000" w:themeColor="text1"/>
                <w:sz w:val="18"/>
                <w:szCs w:val="18"/>
              </w:rPr>
              <w:t>All ethics guidelines were followed. S</w:t>
            </w:r>
            <w:r w:rsidR="000F3EA3" w:rsidRPr="00E2324E">
              <w:rPr>
                <w:rFonts w:eastAsia="Noto Sans"/>
                <w:bCs/>
                <w:color w:val="000000" w:themeColor="text1"/>
                <w:sz w:val="18"/>
                <w:szCs w:val="18"/>
              </w:rPr>
              <w:t xml:space="preserve">ee “Methods” subsection “Mouse model”.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4CD2C6" w:rsidR="00F102CC" w:rsidRPr="00E2324E" w:rsidRDefault="00C11D6A">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F102CC" w:rsidRPr="00E2324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If</w:t>
            </w:r>
            <w:r w:rsidRPr="00E2324E">
              <w:rPr>
                <w:rFonts w:ascii="Noto Sans" w:eastAsia="Noto Sans" w:hAnsi="Noto Sans" w:cs="Noto Sans"/>
                <w:color w:val="000000" w:themeColor="text1"/>
                <w:sz w:val="18"/>
                <w:szCs w:val="18"/>
                <w:highlight w:val="white"/>
              </w:rPr>
              <w:t xml:space="preserve"> study is subject to dual use research of concern regulations, state </w:t>
            </w:r>
            <w:r w:rsidRPr="00E2324E">
              <w:rPr>
                <w:rFonts w:ascii="Noto Sans" w:eastAsia="Noto Sans" w:hAnsi="Noto Sans" w:cs="Noto Sans"/>
                <w:color w:val="000000" w:themeColor="text1"/>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76A55C" w:rsidR="00F102CC" w:rsidRPr="00E2324E" w:rsidRDefault="00724237">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bl>
    <w:p w14:paraId="57B9765C" w14:textId="77777777" w:rsidR="00F102CC" w:rsidRPr="00E2324E" w:rsidRDefault="00F102CC">
      <w:pPr>
        <w:spacing w:line="227" w:lineRule="auto"/>
        <w:rPr>
          <w:rFonts w:ascii="Noto Sans" w:eastAsia="Noto Sans" w:hAnsi="Noto Sans" w:cs="Noto Sans"/>
          <w:b/>
          <w:color w:val="000000" w:themeColor="text1"/>
          <w:sz w:val="18"/>
          <w:szCs w:val="18"/>
        </w:rPr>
      </w:pPr>
    </w:p>
    <w:p w14:paraId="00FE7AF9" w14:textId="77777777" w:rsidR="00F102CC" w:rsidRPr="00E2324E" w:rsidRDefault="00427975">
      <w:pPr>
        <w:spacing w:before="60"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Analysis:</w:t>
      </w:r>
    </w:p>
    <w:p w14:paraId="3DC043E0" w14:textId="77777777" w:rsidR="00F102CC" w:rsidRPr="00E2324E" w:rsidRDefault="00427975">
      <w:pPr>
        <w:spacing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E2324E" w:rsidRPr="00E2324E"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AD49C6" w:rsidR="00F102CC" w:rsidRPr="00E2324E" w:rsidRDefault="00B26D84">
            <w:pPr>
              <w:spacing w:line="225" w:lineRule="auto"/>
              <w:rPr>
                <w:rFonts w:eastAsia="Noto Sans"/>
                <w:bCs/>
                <w:color w:val="000000" w:themeColor="text1"/>
                <w:sz w:val="18"/>
                <w:szCs w:val="18"/>
              </w:rPr>
            </w:pPr>
            <w:r w:rsidRPr="00E2324E">
              <w:rPr>
                <w:rFonts w:eastAsia="Noto Sans"/>
                <w:bCs/>
                <w:color w:val="000000" w:themeColor="text1"/>
                <w:sz w:val="18"/>
                <w:szCs w:val="18"/>
              </w:rPr>
              <w:t xml:space="preserve">All data points available were used for all analyses.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E2324E" w:rsidRDefault="00F102CC">
            <w:pPr>
              <w:rPr>
                <w:rFonts w:ascii="Noto Sans" w:eastAsia="Noto Sans" w:hAnsi="Noto Sans" w:cs="Noto Sans"/>
                <w:b/>
                <w:color w:val="000000" w:themeColor="text1"/>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59B2B4" w:rsidR="00F102CC" w:rsidRPr="00E2324E" w:rsidRDefault="004132E7">
            <w:pPr>
              <w:spacing w:line="225" w:lineRule="auto"/>
              <w:rPr>
                <w:rFonts w:eastAsia="Noto Sans"/>
                <w:bCs/>
                <w:color w:val="000000" w:themeColor="text1"/>
                <w:sz w:val="18"/>
                <w:szCs w:val="18"/>
              </w:rPr>
            </w:pPr>
            <w:r w:rsidRPr="00E2324E">
              <w:rPr>
                <w:rFonts w:eastAsia="Noto Sans"/>
                <w:bCs/>
                <w:color w:val="000000" w:themeColor="text1"/>
                <w:sz w:val="18"/>
                <w:szCs w:val="18"/>
              </w:rPr>
              <w:t>See section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E2324E" w:rsidRDefault="00F102CC">
            <w:pPr>
              <w:rPr>
                <w:rFonts w:ascii="Noto Sans" w:eastAsia="Noto Sans" w:hAnsi="Noto Sans" w:cs="Noto Sans"/>
                <w:b/>
                <w:color w:val="000000" w:themeColor="text1"/>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20E725" w:rsidR="00F102CC" w:rsidRPr="00823458" w:rsidRDefault="000F1BA5">
            <w:pPr>
              <w:spacing w:line="225" w:lineRule="auto"/>
              <w:rPr>
                <w:rFonts w:asciiTheme="majorHAnsi" w:eastAsia="Noto Sans" w:hAnsiTheme="majorHAnsi" w:cstheme="majorHAnsi"/>
                <w:bCs/>
                <w:color w:val="000000" w:themeColor="text1"/>
                <w:sz w:val="18"/>
                <w:szCs w:val="18"/>
              </w:rPr>
            </w:pPr>
            <w:r w:rsidRPr="00823458">
              <w:rPr>
                <w:rFonts w:asciiTheme="majorHAnsi" w:eastAsia="Noto Sans" w:hAnsiTheme="majorHAnsi" w:cstheme="majorHAnsi"/>
                <w:bCs/>
                <w:color w:val="000000" w:themeColor="text1"/>
                <w:sz w:val="18"/>
                <w:szCs w:val="18"/>
              </w:rPr>
              <w:t>All RNA-seq data is freely available, see “Methods” subsection “</w:t>
            </w:r>
            <w:r w:rsidR="005671F6" w:rsidRPr="00E2324E">
              <w:rPr>
                <w:rFonts w:eastAsia="Noto Sans"/>
                <w:bCs/>
                <w:color w:val="000000" w:themeColor="text1"/>
                <w:sz w:val="18"/>
                <w:szCs w:val="18"/>
              </w:rPr>
              <w:t>RNA-seq</w:t>
            </w:r>
            <w:r w:rsidR="005671F6">
              <w:rPr>
                <w:rFonts w:eastAsia="Noto Sans"/>
                <w:bCs/>
                <w:color w:val="000000" w:themeColor="text1"/>
                <w:sz w:val="18"/>
                <w:szCs w:val="18"/>
              </w:rPr>
              <w:t xml:space="preserve"> and bioinformatics analysis</w:t>
            </w:r>
            <w:r w:rsidRPr="00823458">
              <w:rPr>
                <w:rFonts w:asciiTheme="majorHAnsi" w:eastAsia="Noto Sans" w:hAnsiTheme="majorHAnsi" w:cstheme="majorHAnsi"/>
                <w:bCs/>
                <w:color w:val="000000" w:themeColor="text1"/>
                <w:sz w:val="18"/>
                <w:szCs w:val="18"/>
              </w:rPr>
              <w:t xml:space="preserve">”. SRA accession number </w:t>
            </w:r>
            <w:r w:rsidR="00823458" w:rsidRPr="00823458">
              <w:rPr>
                <w:rFonts w:asciiTheme="majorHAnsi" w:hAnsiTheme="majorHAnsi" w:cstheme="majorHAnsi"/>
                <w:sz w:val="18"/>
                <w:szCs w:val="18"/>
              </w:rPr>
              <w:t>PRJNA938158</w:t>
            </w:r>
            <w:r w:rsidRPr="00823458">
              <w:rPr>
                <w:rFonts w:asciiTheme="majorHAnsi" w:eastAsia="Noto Sans" w:hAnsiTheme="majorHAnsi" w:cstheme="majorHAnsi"/>
                <w:bCs/>
                <w:color w:val="000000" w:themeColor="text1"/>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highlight w:val="white"/>
              </w:rPr>
              <w:t xml:space="preserve">When newly created datasets are publicly available, provide accession number in repository OR DOI and licensing details </w:t>
            </w:r>
            <w:proofErr w:type="spellStart"/>
            <w:r w:rsidRPr="00E2324E">
              <w:rPr>
                <w:rFonts w:ascii="Noto Sans" w:eastAsia="Noto Sans" w:hAnsi="Noto Sans" w:cs="Noto Sans"/>
                <w:color w:val="000000" w:themeColor="text1"/>
                <w:sz w:val="18"/>
                <w:szCs w:val="18"/>
                <w:highlight w:val="white"/>
              </w:rPr>
              <w:t>where</w:t>
            </w:r>
            <w:proofErr w:type="spellEnd"/>
            <w:r w:rsidRPr="00E2324E">
              <w:rPr>
                <w:rFonts w:ascii="Noto Sans" w:eastAsia="Noto Sans" w:hAnsi="Noto Sans" w:cs="Noto Sans"/>
                <w:color w:val="000000" w:themeColor="text1"/>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48BDC3" w:rsidR="00F102CC" w:rsidRPr="00823458" w:rsidRDefault="000F1BA5">
            <w:pPr>
              <w:spacing w:line="225" w:lineRule="auto"/>
              <w:rPr>
                <w:rFonts w:asciiTheme="majorHAnsi" w:eastAsia="Noto Sans" w:hAnsiTheme="majorHAnsi" w:cstheme="majorHAnsi"/>
                <w:bCs/>
                <w:color w:val="000000" w:themeColor="text1"/>
                <w:sz w:val="18"/>
                <w:szCs w:val="18"/>
              </w:rPr>
            </w:pPr>
            <w:r w:rsidRPr="00823458">
              <w:rPr>
                <w:rFonts w:asciiTheme="majorHAnsi" w:eastAsia="Noto Sans" w:hAnsiTheme="majorHAnsi" w:cstheme="majorHAnsi"/>
                <w:bCs/>
                <w:color w:val="000000" w:themeColor="text1"/>
                <w:sz w:val="18"/>
                <w:szCs w:val="18"/>
              </w:rPr>
              <w:t>All RNA-seq data is freely available, see “Methods” subsection “</w:t>
            </w:r>
            <w:r w:rsidR="005671F6" w:rsidRPr="00E2324E">
              <w:rPr>
                <w:rFonts w:eastAsia="Noto Sans"/>
                <w:bCs/>
                <w:color w:val="000000" w:themeColor="text1"/>
                <w:sz w:val="18"/>
                <w:szCs w:val="18"/>
              </w:rPr>
              <w:t>RNA</w:t>
            </w:r>
            <w:r w:rsidR="009710A1">
              <w:rPr>
                <w:rFonts w:eastAsia="Noto Sans"/>
                <w:bCs/>
                <w:color w:val="000000" w:themeColor="text1"/>
                <w:sz w:val="18"/>
                <w:szCs w:val="18"/>
              </w:rPr>
              <w:t xml:space="preserve"> </w:t>
            </w:r>
            <w:r w:rsidR="005671F6" w:rsidRPr="00E2324E">
              <w:rPr>
                <w:rFonts w:eastAsia="Noto Sans"/>
                <w:bCs/>
                <w:color w:val="000000" w:themeColor="text1"/>
                <w:sz w:val="18"/>
                <w:szCs w:val="18"/>
              </w:rPr>
              <w:t>seq</w:t>
            </w:r>
            <w:r w:rsidR="009710A1">
              <w:rPr>
                <w:rFonts w:eastAsia="Noto Sans"/>
                <w:bCs/>
                <w:color w:val="000000" w:themeColor="text1"/>
                <w:sz w:val="18"/>
                <w:szCs w:val="18"/>
              </w:rPr>
              <w:t>uencing”</w:t>
            </w:r>
            <w:r w:rsidRPr="00823458">
              <w:rPr>
                <w:rFonts w:asciiTheme="majorHAnsi" w:eastAsia="Noto Sans" w:hAnsiTheme="majorHAnsi" w:cstheme="majorHAnsi"/>
                <w:bCs/>
                <w:color w:val="000000" w:themeColor="text1"/>
                <w:sz w:val="18"/>
                <w:szCs w:val="18"/>
              </w:rPr>
              <w:t xml:space="preserve">. </w:t>
            </w:r>
            <w:r w:rsidR="009710A1" w:rsidRPr="009710A1">
              <w:rPr>
                <w:rFonts w:asciiTheme="majorHAnsi" w:eastAsia="Noto Sans" w:hAnsiTheme="majorHAnsi" w:cstheme="majorHAnsi"/>
                <w:bCs/>
                <w:color w:val="000000" w:themeColor="text1"/>
                <w:sz w:val="18"/>
                <w:szCs w:val="18"/>
              </w:rPr>
              <w:t>All raw sequencing files are available from the NIH Sequence Read Archive (SRA) accession PRJNA971939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highlight w:val="white"/>
              </w:rPr>
              <w:t>If reused data is publicly available provide accession number in repository OR DOI</w:t>
            </w:r>
            <w:r w:rsidR="001B3BCC" w:rsidRPr="00E2324E">
              <w:rPr>
                <w:rFonts w:ascii="Noto Sans" w:eastAsia="Noto Sans" w:hAnsi="Noto Sans" w:cs="Noto Sans"/>
                <w:color w:val="000000" w:themeColor="text1"/>
                <w:sz w:val="18"/>
                <w:szCs w:val="18"/>
                <w:highlight w:val="white"/>
              </w:rPr>
              <w:t>,</w:t>
            </w:r>
            <w:r w:rsidRPr="00E2324E">
              <w:rPr>
                <w:rFonts w:ascii="Noto Sans" w:eastAsia="Noto Sans" w:hAnsi="Noto Sans" w:cs="Noto Sans"/>
                <w:color w:val="000000" w:themeColor="text1"/>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FA70C5" w:rsidR="00F102CC" w:rsidRPr="00E2324E" w:rsidRDefault="000F1BA5">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E2324E" w:rsidRDefault="00F102CC">
            <w:pPr>
              <w:rPr>
                <w:rFonts w:ascii="Noto Sans" w:eastAsia="Noto Sans" w:hAnsi="Noto Sans" w:cs="Noto Sans"/>
                <w:b/>
                <w:color w:val="000000" w:themeColor="text1"/>
                <w:sz w:val="18"/>
                <w:szCs w:val="18"/>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 xml:space="preserve">For </w:t>
            </w:r>
            <w:r w:rsidR="005B0259" w:rsidRPr="00E2324E">
              <w:rPr>
                <w:rFonts w:ascii="Noto Sans" w:eastAsia="Noto Sans" w:hAnsi="Noto Sans" w:cs="Noto Sans"/>
                <w:color w:val="000000" w:themeColor="text1"/>
                <w:sz w:val="18"/>
                <w:szCs w:val="18"/>
              </w:rPr>
              <w:t xml:space="preserve">any </w:t>
            </w:r>
            <w:r w:rsidRPr="00E2324E">
              <w:rPr>
                <w:rFonts w:ascii="Noto Sans" w:eastAsia="Noto Sans" w:hAnsi="Noto Sans" w:cs="Noto Sans"/>
                <w:color w:val="000000" w:themeColor="text1"/>
                <w:sz w:val="18"/>
                <w:szCs w:val="18"/>
              </w:rPr>
              <w:t>computer code/software/mathematical algorithm</w:t>
            </w:r>
            <w:r w:rsidR="005B0259" w:rsidRPr="00E2324E">
              <w:rPr>
                <w:rFonts w:ascii="Noto Sans" w:eastAsia="Noto Sans" w:hAnsi="Noto Sans" w:cs="Noto Sans"/>
                <w:color w:val="000000" w:themeColor="text1"/>
                <w:sz w:val="18"/>
                <w:szCs w:val="18"/>
              </w:rPr>
              <w:t>s</w:t>
            </w:r>
            <w:r w:rsidRPr="00E2324E">
              <w:rPr>
                <w:rFonts w:ascii="Noto Sans" w:eastAsia="Noto Sans" w:hAnsi="Noto Sans" w:cs="Noto Sans"/>
                <w:color w:val="000000" w:themeColor="text1"/>
                <w:sz w:val="18"/>
                <w:szCs w:val="18"/>
              </w:rPr>
              <w:t xml:space="preserve"> essential for replicating the main findings of the study, </w:t>
            </w:r>
            <w:r w:rsidR="005B0259" w:rsidRPr="00E2324E">
              <w:rPr>
                <w:rFonts w:ascii="Noto Sans" w:eastAsia="Noto Sans" w:hAnsi="Noto Sans" w:cs="Noto Sans"/>
                <w:color w:val="000000" w:themeColor="text1"/>
                <w:sz w:val="18"/>
                <w:szCs w:val="18"/>
              </w:rPr>
              <w:t xml:space="preserve">whether newly generated or re-used, </w:t>
            </w:r>
            <w:r w:rsidRPr="00E2324E">
              <w:rPr>
                <w:rFonts w:ascii="Noto Sans" w:eastAsia="Noto Sans" w:hAnsi="Noto Sans" w:cs="Noto Sans"/>
                <w:color w:val="000000" w:themeColor="text1"/>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562FC5" w:rsidR="00F102CC" w:rsidRPr="00E2324E" w:rsidRDefault="00AF03D4">
            <w:pPr>
              <w:spacing w:line="225" w:lineRule="auto"/>
              <w:rPr>
                <w:rFonts w:ascii="Noto Sans" w:eastAsia="Noto Sans" w:hAnsi="Noto Sans" w:cs="Noto Sans"/>
                <w:bCs/>
                <w:color w:val="000000" w:themeColor="text1"/>
                <w:sz w:val="18"/>
                <w:szCs w:val="18"/>
              </w:rPr>
            </w:pPr>
            <w:r w:rsidRPr="00E2324E">
              <w:rPr>
                <w:rFonts w:eastAsia="Noto Sans"/>
                <w:bCs/>
                <w:color w:val="000000" w:themeColor="text1"/>
                <w:sz w:val="18"/>
                <w:szCs w:val="18"/>
              </w:rPr>
              <w:t>See “Methods” subsection “RNA-seq</w:t>
            </w:r>
            <w:r w:rsidR="005671F6">
              <w:rPr>
                <w:rFonts w:eastAsia="Noto Sans"/>
                <w:bCs/>
                <w:color w:val="000000" w:themeColor="text1"/>
                <w:sz w:val="18"/>
                <w:szCs w:val="18"/>
              </w:rPr>
              <w:t xml:space="preserve"> and bioinformatics analysis</w:t>
            </w:r>
            <w:r w:rsidRPr="00E2324E">
              <w:rPr>
                <w:rFonts w:eastAsia="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2324E" w:rsidRDefault="005B0259">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Where</w:t>
            </w:r>
            <w:r w:rsidR="00427975" w:rsidRPr="00E2324E">
              <w:rPr>
                <w:rFonts w:ascii="Noto Sans" w:eastAsia="Noto Sans" w:hAnsi="Noto Sans" w:cs="Noto Sans"/>
                <w:color w:val="000000" w:themeColor="text1"/>
                <w:sz w:val="18"/>
                <w:szCs w:val="18"/>
              </w:rPr>
              <w:t xml:space="preserve"> newly generated code is publicly available, provide accession number in repository, OR DOI OR URL and licensing details </w:t>
            </w:r>
            <w:proofErr w:type="spellStart"/>
            <w:r w:rsidR="00427975" w:rsidRPr="00E2324E">
              <w:rPr>
                <w:rFonts w:ascii="Noto Sans" w:eastAsia="Noto Sans" w:hAnsi="Noto Sans" w:cs="Noto Sans"/>
                <w:color w:val="000000" w:themeColor="text1"/>
                <w:sz w:val="18"/>
                <w:szCs w:val="18"/>
              </w:rPr>
              <w:t>where</w:t>
            </w:r>
            <w:proofErr w:type="spellEnd"/>
            <w:r w:rsidR="00427975" w:rsidRPr="00E2324E">
              <w:rPr>
                <w:rFonts w:ascii="Noto Sans" w:eastAsia="Noto Sans" w:hAnsi="Noto Sans" w:cs="Noto Sans"/>
                <w:color w:val="000000" w:themeColor="text1"/>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0FF8D2" w:rsidR="00F102CC" w:rsidRPr="00E2324E" w:rsidRDefault="00AF03D4">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F102CC" w:rsidRPr="00E2324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rPr>
              <w:t xml:space="preserve">If reused code is </w:t>
            </w:r>
            <w:r w:rsidRPr="00E2324E">
              <w:rPr>
                <w:rFonts w:ascii="Noto Sans" w:eastAsia="Noto Sans" w:hAnsi="Noto Sans" w:cs="Noto Sans"/>
                <w:color w:val="000000" w:themeColor="text1"/>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F9ADD8C" w:rsidR="00F102CC" w:rsidRPr="00E2324E" w:rsidRDefault="00AF03D4">
            <w:pPr>
              <w:spacing w:line="225" w:lineRule="auto"/>
              <w:rPr>
                <w:rFonts w:ascii="Noto Sans" w:eastAsia="Noto Sans" w:hAnsi="Noto Sans" w:cs="Noto Sans"/>
                <w:bCs/>
                <w:color w:val="000000" w:themeColor="text1"/>
                <w:sz w:val="18"/>
                <w:szCs w:val="18"/>
              </w:rPr>
            </w:pPr>
            <w:r w:rsidRPr="00E2324E">
              <w:rPr>
                <w:rFonts w:eastAsia="Noto Sans"/>
                <w:bCs/>
                <w:color w:val="000000" w:themeColor="text1"/>
                <w:sz w:val="18"/>
                <w:szCs w:val="18"/>
              </w:rPr>
              <w:t>See “Methods” subsection “</w:t>
            </w:r>
            <w:r w:rsidR="005671F6" w:rsidRPr="00E2324E">
              <w:rPr>
                <w:rFonts w:eastAsia="Noto Sans"/>
                <w:bCs/>
                <w:color w:val="000000" w:themeColor="text1"/>
                <w:sz w:val="18"/>
                <w:szCs w:val="18"/>
              </w:rPr>
              <w:t>RNA-seq</w:t>
            </w:r>
            <w:r w:rsidR="005671F6">
              <w:rPr>
                <w:rFonts w:eastAsia="Noto Sans"/>
                <w:bCs/>
                <w:color w:val="000000" w:themeColor="text1"/>
                <w:sz w:val="18"/>
                <w:szCs w:val="18"/>
              </w:rPr>
              <w:t xml:space="preserve"> and bioinformatics analysis</w:t>
            </w:r>
            <w:r w:rsidRPr="00E2324E">
              <w:rPr>
                <w:rFonts w:eastAsia="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E2324E" w:rsidRDefault="00F102CC">
            <w:pPr>
              <w:spacing w:line="225" w:lineRule="auto"/>
              <w:rPr>
                <w:rFonts w:ascii="Noto Sans" w:eastAsia="Noto Sans" w:hAnsi="Noto Sans" w:cs="Noto Sans"/>
                <w:bCs/>
                <w:color w:val="000000" w:themeColor="text1"/>
                <w:sz w:val="18"/>
                <w:szCs w:val="18"/>
              </w:rPr>
            </w:pPr>
          </w:p>
        </w:tc>
      </w:tr>
    </w:tbl>
    <w:p w14:paraId="0AA8B99E" w14:textId="77777777" w:rsidR="00F102CC" w:rsidRPr="00E2324E" w:rsidRDefault="00F102CC">
      <w:pPr>
        <w:spacing w:before="60" w:line="227" w:lineRule="auto"/>
        <w:rPr>
          <w:rFonts w:ascii="Noto Sans" w:eastAsia="Noto Sans" w:hAnsi="Noto Sans" w:cs="Noto Sans"/>
          <w:b/>
          <w:color w:val="000000" w:themeColor="text1"/>
          <w:sz w:val="18"/>
          <w:szCs w:val="18"/>
          <w:u w:val="single"/>
        </w:rPr>
      </w:pPr>
    </w:p>
    <w:p w14:paraId="05E5A65D" w14:textId="77777777" w:rsidR="00F102CC" w:rsidRPr="00E2324E" w:rsidRDefault="00427975">
      <w:pPr>
        <w:spacing w:before="60" w:line="227" w:lineRule="auto"/>
        <w:rPr>
          <w:rFonts w:ascii="Noto Sans" w:eastAsia="Noto Sans" w:hAnsi="Noto Sans" w:cs="Noto Sans"/>
          <w:b/>
          <w:color w:val="000000" w:themeColor="text1"/>
          <w:sz w:val="18"/>
          <w:szCs w:val="18"/>
        </w:rPr>
      </w:pPr>
      <w:bookmarkStart w:id="2" w:name="_qing2gdaj9k6" w:colFirst="0" w:colLast="0"/>
      <w:bookmarkEnd w:id="2"/>
      <w:r w:rsidRPr="00E2324E">
        <w:rPr>
          <w:rFonts w:ascii="Noto Sans" w:eastAsia="Noto Sans" w:hAnsi="Noto Sans" w:cs="Noto Sans"/>
          <w:b/>
          <w:color w:val="000000" w:themeColor="text1"/>
          <w:sz w:val="18"/>
          <w:szCs w:val="18"/>
        </w:rPr>
        <w:t>Reporting:</w:t>
      </w:r>
    </w:p>
    <w:p w14:paraId="562BE798" w14:textId="77777777" w:rsidR="00F102CC" w:rsidRPr="00E2324E" w:rsidRDefault="00427975">
      <w:pPr>
        <w:spacing w:before="80" w:line="227" w:lineRule="auto"/>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The MDAR framework recommends adoption of discipline-specific guidelines, established and endorsed through community initiatives.</w:t>
      </w:r>
    </w:p>
    <w:p w14:paraId="6D6099B1" w14:textId="77777777" w:rsidR="00F102CC" w:rsidRPr="00E2324E" w:rsidRDefault="00427975">
      <w:pPr>
        <w:spacing w:line="227" w:lineRule="auto"/>
        <w:ind w:left="46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907BD" w:rsidRPr="00E2324E"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F102CC" w:rsidRPr="00E2324E"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lastRenderedPageBreak/>
              <w:t xml:space="preserve">State if </w:t>
            </w:r>
            <w:r w:rsidRPr="002A77DA">
              <w:rPr>
                <w:rFonts w:ascii="Noto Sans" w:eastAsia="Noto Sans" w:hAnsi="Noto Sans" w:cs="Noto Sans"/>
                <w:color w:val="000000" w:themeColor="text1"/>
                <w:sz w:val="18"/>
                <w:szCs w:val="18"/>
              </w:rPr>
              <w:t>relevant guidelines (e.g., ICMJE, MIBBI, ARRIVE, STRANGE) have been followed, and whether</w:t>
            </w:r>
            <w:r w:rsidRPr="00E2324E">
              <w:rPr>
                <w:rFonts w:ascii="Noto Sans" w:eastAsia="Noto Sans" w:hAnsi="Noto Sans" w:cs="Noto Sans"/>
                <w:color w:val="000000" w:themeColor="text1"/>
                <w:sz w:val="18"/>
                <w:szCs w:val="18"/>
              </w:rPr>
              <w:t xml:space="preserve">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5AA80F" w:rsidR="00F102CC" w:rsidRPr="002A77DA" w:rsidRDefault="002A77DA">
            <w:pPr>
              <w:spacing w:line="225" w:lineRule="auto"/>
              <w:rPr>
                <w:rFonts w:eastAsia="Noto Sans"/>
                <w:bCs/>
                <w:color w:val="000000" w:themeColor="text1"/>
                <w:sz w:val="18"/>
                <w:szCs w:val="18"/>
              </w:rPr>
            </w:pPr>
            <w:r>
              <w:rPr>
                <w:rFonts w:eastAsia="Noto Sans"/>
                <w:bCs/>
                <w:color w:val="000000" w:themeColor="text1"/>
                <w:sz w:val="18"/>
                <w:szCs w:val="18"/>
              </w:rPr>
              <w:t>X</w:t>
            </w:r>
          </w:p>
        </w:tc>
      </w:tr>
    </w:tbl>
    <w:p w14:paraId="504D0CB4" w14:textId="77777777" w:rsidR="00F102CC" w:rsidRPr="00E2324E" w:rsidRDefault="00F102CC">
      <w:pPr>
        <w:spacing w:line="227" w:lineRule="auto"/>
        <w:rPr>
          <w:rFonts w:ascii="Noto Sans" w:eastAsia="Noto Sans" w:hAnsi="Noto Sans" w:cs="Noto Sans"/>
          <w:b/>
          <w:color w:val="000000" w:themeColor="text1"/>
          <w:sz w:val="18"/>
          <w:szCs w:val="18"/>
        </w:rPr>
      </w:pPr>
    </w:p>
    <w:p w14:paraId="36ED3EAB" w14:textId="77777777" w:rsidR="00F102CC" w:rsidRPr="00E2324E" w:rsidRDefault="00337ABF">
      <w:pPr>
        <w:spacing w:before="80"/>
        <w:rPr>
          <w:color w:val="000000" w:themeColor="text1"/>
          <w:sz w:val="18"/>
          <w:szCs w:val="18"/>
        </w:rPr>
      </w:pPr>
      <w:bookmarkStart w:id="3" w:name="_cm0qssfkw66b" w:colFirst="0" w:colLast="0"/>
      <w:bookmarkEnd w:id="3"/>
      <w:r>
        <w:rPr>
          <w:noProof/>
          <w:color w:val="000000" w:themeColor="text1"/>
          <w:sz w:val="18"/>
          <w:szCs w:val="18"/>
        </w:rPr>
        <w:pict w14:anchorId="5E7F9325">
          <v:rect id="_x0000_i1025" alt="" style="width:482.5pt;height:.05pt;mso-width-percent:0;mso-height-percent:0;mso-width-percent:0;mso-height-percent:0" o:hralign="center" o:hrstd="t" o:hr="t" fillcolor="#a0a0a0" stroked="f"/>
        </w:pict>
      </w:r>
    </w:p>
    <w:p w14:paraId="71B6A149" w14:textId="77777777" w:rsidR="003D5AF6" w:rsidRPr="00E2324E" w:rsidRDefault="003D5AF6">
      <w:pPr>
        <w:rPr>
          <w:color w:val="000000" w:themeColor="text1"/>
          <w:sz w:val="18"/>
          <w:szCs w:val="18"/>
        </w:rPr>
      </w:pPr>
    </w:p>
    <w:p w14:paraId="4689F878" w14:textId="3E3E28F9" w:rsidR="00F102CC" w:rsidRPr="00E2324E" w:rsidRDefault="00427975">
      <w:pPr>
        <w:rPr>
          <w:color w:val="000000" w:themeColor="text1"/>
          <w:sz w:val="18"/>
          <w:szCs w:val="18"/>
        </w:rPr>
      </w:pPr>
      <w:r w:rsidRPr="00E2324E">
        <w:rPr>
          <w:color w:val="000000" w:themeColor="text1"/>
          <w:sz w:val="18"/>
          <w:szCs w:val="18"/>
        </w:rPr>
        <w:t xml:space="preserve">* We provide the following guidance regarding transparent reporting and statistics; we also refer authors to </w:t>
      </w:r>
      <w:hyperlink r:id="rId14">
        <w:r w:rsidRPr="00E2324E">
          <w:rPr>
            <w:color w:val="000000" w:themeColor="text1"/>
            <w:sz w:val="18"/>
            <w:szCs w:val="18"/>
            <w:u w:val="single"/>
          </w:rPr>
          <w:t>Ten common statistical mistakes to watch out for when writing or reviewing a manuscript</w:t>
        </w:r>
      </w:hyperlink>
      <w:r w:rsidRPr="00E2324E">
        <w:rPr>
          <w:color w:val="000000" w:themeColor="text1"/>
          <w:sz w:val="18"/>
          <w:szCs w:val="18"/>
        </w:rPr>
        <w:t>.</w:t>
      </w:r>
    </w:p>
    <w:p w14:paraId="360DDEF9" w14:textId="77777777" w:rsidR="00F102CC" w:rsidRPr="00E2324E" w:rsidRDefault="00F102CC">
      <w:pPr>
        <w:rPr>
          <w:color w:val="000000" w:themeColor="text1"/>
          <w:sz w:val="18"/>
          <w:szCs w:val="18"/>
        </w:rPr>
      </w:pPr>
    </w:p>
    <w:p w14:paraId="4D2FC5F5" w14:textId="77777777" w:rsidR="00F102CC" w:rsidRPr="00E2324E" w:rsidRDefault="00427975">
      <w:pPr>
        <w:rPr>
          <w:b/>
          <w:color w:val="000000" w:themeColor="text1"/>
          <w:sz w:val="18"/>
          <w:szCs w:val="18"/>
        </w:rPr>
      </w:pPr>
      <w:r w:rsidRPr="00E2324E">
        <w:rPr>
          <w:b/>
          <w:color w:val="000000" w:themeColor="text1"/>
          <w:sz w:val="18"/>
          <w:szCs w:val="18"/>
        </w:rPr>
        <w:t>Sample-size estimation</w:t>
      </w:r>
    </w:p>
    <w:p w14:paraId="3CCA1721" w14:textId="77777777" w:rsidR="00F102CC" w:rsidRPr="00E2324E" w:rsidRDefault="00427975">
      <w:pPr>
        <w:numPr>
          <w:ilvl w:val="0"/>
          <w:numId w:val="1"/>
        </w:numPr>
        <w:rPr>
          <w:color w:val="000000" w:themeColor="text1"/>
          <w:sz w:val="18"/>
          <w:szCs w:val="18"/>
        </w:rPr>
      </w:pPr>
      <w:r w:rsidRPr="00E2324E">
        <w:rPr>
          <w:color w:val="000000" w:themeColor="text1"/>
          <w:sz w:val="18"/>
          <w:szCs w:val="18"/>
        </w:rPr>
        <w:t>You should state whether an appropriate sample size was computed when the study was being designed</w:t>
      </w:r>
    </w:p>
    <w:p w14:paraId="2FE61FA3" w14:textId="77777777" w:rsidR="00F102CC" w:rsidRPr="00E2324E" w:rsidRDefault="00427975">
      <w:pPr>
        <w:numPr>
          <w:ilvl w:val="0"/>
          <w:numId w:val="1"/>
        </w:numPr>
        <w:rPr>
          <w:color w:val="000000" w:themeColor="text1"/>
          <w:sz w:val="18"/>
          <w:szCs w:val="18"/>
        </w:rPr>
      </w:pPr>
      <w:r w:rsidRPr="00E2324E">
        <w:rPr>
          <w:color w:val="000000" w:themeColor="text1"/>
          <w:sz w:val="18"/>
          <w:szCs w:val="18"/>
        </w:rPr>
        <w:t>You should state the statistical method of sample size computation and any required assumptions</w:t>
      </w:r>
    </w:p>
    <w:p w14:paraId="2A58711B" w14:textId="77777777" w:rsidR="00F102CC" w:rsidRPr="00E2324E" w:rsidRDefault="00427975">
      <w:pPr>
        <w:numPr>
          <w:ilvl w:val="0"/>
          <w:numId w:val="1"/>
        </w:numPr>
        <w:rPr>
          <w:color w:val="000000" w:themeColor="text1"/>
          <w:sz w:val="18"/>
          <w:szCs w:val="18"/>
        </w:rPr>
      </w:pPr>
      <w:r w:rsidRPr="00E2324E">
        <w:rPr>
          <w:color w:val="000000" w:themeColor="text1"/>
          <w:sz w:val="18"/>
          <w:szCs w:val="18"/>
        </w:rPr>
        <w:t>If no explicit power analysis was used, you should describe how you decided what sample (replicate) size (number) to use</w:t>
      </w:r>
    </w:p>
    <w:p w14:paraId="1DF7D7D3" w14:textId="77777777" w:rsidR="00F102CC" w:rsidRPr="00E2324E" w:rsidRDefault="00F102CC">
      <w:pPr>
        <w:rPr>
          <w:color w:val="000000" w:themeColor="text1"/>
          <w:sz w:val="18"/>
          <w:szCs w:val="18"/>
        </w:rPr>
      </w:pPr>
    </w:p>
    <w:p w14:paraId="481F8A46" w14:textId="77777777" w:rsidR="00F102CC" w:rsidRPr="00E2324E" w:rsidRDefault="00427975">
      <w:pPr>
        <w:rPr>
          <w:b/>
          <w:color w:val="000000" w:themeColor="text1"/>
          <w:sz w:val="18"/>
          <w:szCs w:val="18"/>
        </w:rPr>
      </w:pPr>
      <w:r w:rsidRPr="00E2324E">
        <w:rPr>
          <w:b/>
          <w:color w:val="000000" w:themeColor="text1"/>
          <w:sz w:val="18"/>
          <w:szCs w:val="18"/>
        </w:rPr>
        <w:t>Replicates</w:t>
      </w:r>
    </w:p>
    <w:p w14:paraId="7D088A59"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You should report how often each experiment was performed</w:t>
      </w:r>
    </w:p>
    <w:p w14:paraId="4BB08040"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You should include a definition of biological versus technical replication</w:t>
      </w:r>
    </w:p>
    <w:p w14:paraId="4D350445"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The data obtained should be provided and sufficient information should be provided to indicate the number of independent biological and/or technical replicates</w:t>
      </w:r>
    </w:p>
    <w:p w14:paraId="05F1AFEC"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If you encountered any outliers, you should describe how these were handled</w:t>
      </w:r>
    </w:p>
    <w:p w14:paraId="23F6B6F2"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Criteria for exclusion/inclusion of data should be clearly stated</w:t>
      </w:r>
    </w:p>
    <w:p w14:paraId="4AD51CF5"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 xml:space="preserve">High-throughput sequence data should be uploaded before submission, with a private link for reviewers provided (these are available from both GEO and </w:t>
      </w:r>
      <w:proofErr w:type="spellStart"/>
      <w:r w:rsidRPr="00E2324E">
        <w:rPr>
          <w:color w:val="000000" w:themeColor="text1"/>
          <w:sz w:val="18"/>
          <w:szCs w:val="18"/>
        </w:rPr>
        <w:t>ArrayExpress</w:t>
      </w:r>
      <w:proofErr w:type="spellEnd"/>
      <w:r w:rsidRPr="00E2324E">
        <w:rPr>
          <w:color w:val="000000" w:themeColor="text1"/>
          <w:sz w:val="18"/>
          <w:szCs w:val="18"/>
        </w:rPr>
        <w:t>)</w:t>
      </w:r>
    </w:p>
    <w:p w14:paraId="6CC4C1F0" w14:textId="77777777" w:rsidR="00F102CC" w:rsidRPr="00E2324E" w:rsidRDefault="00F102CC">
      <w:pPr>
        <w:rPr>
          <w:color w:val="000000" w:themeColor="text1"/>
          <w:sz w:val="18"/>
          <w:szCs w:val="18"/>
        </w:rPr>
      </w:pPr>
    </w:p>
    <w:p w14:paraId="5350F358" w14:textId="77777777" w:rsidR="00F102CC" w:rsidRPr="00E2324E" w:rsidRDefault="00427975">
      <w:pPr>
        <w:rPr>
          <w:b/>
          <w:color w:val="000000" w:themeColor="text1"/>
          <w:sz w:val="18"/>
          <w:szCs w:val="18"/>
        </w:rPr>
      </w:pPr>
      <w:r w:rsidRPr="00E2324E">
        <w:rPr>
          <w:b/>
          <w:color w:val="000000" w:themeColor="text1"/>
          <w:sz w:val="18"/>
          <w:szCs w:val="18"/>
        </w:rPr>
        <w:t>Statistical reporting</w:t>
      </w:r>
    </w:p>
    <w:p w14:paraId="63946B2E"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Statistical analysis methods should be described and justified</w:t>
      </w:r>
    </w:p>
    <w:p w14:paraId="4FE0B959"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Raw data should be presented in figures whenever informative to do so (typically when N per group is less than 10)</w:t>
      </w:r>
    </w:p>
    <w:p w14:paraId="7B336BE9"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Report exact p-values wherever possible alongside the summary statistics and 95% confidence intervals. These should be reported for all key questions and not only when the p-value is less than 0.05.</w:t>
      </w:r>
    </w:p>
    <w:p w14:paraId="1F75B295" w14:textId="77777777" w:rsidR="00F102CC" w:rsidRPr="00E2324E" w:rsidRDefault="00F102CC">
      <w:pPr>
        <w:rPr>
          <w:color w:val="000000" w:themeColor="text1"/>
          <w:sz w:val="18"/>
          <w:szCs w:val="18"/>
        </w:rPr>
      </w:pPr>
    </w:p>
    <w:p w14:paraId="0150C7CA" w14:textId="77777777" w:rsidR="00F102CC" w:rsidRPr="00E2324E" w:rsidRDefault="00427975">
      <w:pPr>
        <w:rPr>
          <w:b/>
          <w:color w:val="000000" w:themeColor="text1"/>
          <w:sz w:val="18"/>
          <w:szCs w:val="18"/>
        </w:rPr>
      </w:pPr>
      <w:r w:rsidRPr="00E2324E">
        <w:rPr>
          <w:b/>
          <w:color w:val="000000" w:themeColor="text1"/>
          <w:sz w:val="18"/>
          <w:szCs w:val="18"/>
        </w:rPr>
        <w:t>Group allocation</w:t>
      </w:r>
    </w:p>
    <w:p w14:paraId="130D32B4" w14:textId="77777777" w:rsidR="00F102CC" w:rsidRPr="00E2324E" w:rsidRDefault="00427975">
      <w:pPr>
        <w:numPr>
          <w:ilvl w:val="0"/>
          <w:numId w:val="4"/>
        </w:numPr>
        <w:rPr>
          <w:color w:val="000000" w:themeColor="text1"/>
          <w:sz w:val="18"/>
          <w:szCs w:val="18"/>
        </w:rPr>
      </w:pPr>
      <w:r w:rsidRPr="00E2324E">
        <w:rPr>
          <w:color w:val="000000" w:themeColor="text1"/>
          <w:sz w:val="18"/>
          <w:szCs w:val="18"/>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E2324E" w:rsidRDefault="00427975">
      <w:pPr>
        <w:numPr>
          <w:ilvl w:val="0"/>
          <w:numId w:val="4"/>
        </w:numPr>
        <w:rPr>
          <w:color w:val="000000" w:themeColor="text1"/>
          <w:sz w:val="18"/>
          <w:szCs w:val="18"/>
        </w:rPr>
      </w:pPr>
      <w:r w:rsidRPr="00E2324E">
        <w:rPr>
          <w:color w:val="000000" w:themeColor="text1"/>
          <w:sz w:val="18"/>
          <w:szCs w:val="18"/>
        </w:rPr>
        <w:t>Indicate if masking was used during group allocation, data collection and/or data analysis</w:t>
      </w:r>
    </w:p>
    <w:sectPr w:rsidR="00F102CC" w:rsidRPr="00E2324E"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5469" w14:textId="77777777" w:rsidR="00337ABF" w:rsidRDefault="00337ABF">
      <w:r>
        <w:separator/>
      </w:r>
    </w:p>
  </w:endnote>
  <w:endnote w:type="continuationSeparator" w:id="0">
    <w:p w14:paraId="426CFE44" w14:textId="77777777" w:rsidR="00337ABF" w:rsidRDefault="0033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2391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51D3" w14:textId="77777777" w:rsidR="00337ABF" w:rsidRDefault="00337ABF">
      <w:r>
        <w:separator/>
      </w:r>
    </w:p>
  </w:footnote>
  <w:footnote w:type="continuationSeparator" w:id="0">
    <w:p w14:paraId="1A387059" w14:textId="77777777" w:rsidR="00337ABF" w:rsidRDefault="0033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D90"/>
    <w:rsid w:val="00082899"/>
    <w:rsid w:val="00084232"/>
    <w:rsid w:val="000F1BA5"/>
    <w:rsid w:val="000F3EA3"/>
    <w:rsid w:val="000F78E8"/>
    <w:rsid w:val="001237F2"/>
    <w:rsid w:val="001B3BCC"/>
    <w:rsid w:val="00207F2B"/>
    <w:rsid w:val="002209A8"/>
    <w:rsid w:val="002248EF"/>
    <w:rsid w:val="00263697"/>
    <w:rsid w:val="002A77DA"/>
    <w:rsid w:val="002F32F6"/>
    <w:rsid w:val="002F3941"/>
    <w:rsid w:val="003063E9"/>
    <w:rsid w:val="00337ABF"/>
    <w:rsid w:val="00361763"/>
    <w:rsid w:val="003D5AF6"/>
    <w:rsid w:val="00403351"/>
    <w:rsid w:val="004132E7"/>
    <w:rsid w:val="00427975"/>
    <w:rsid w:val="00450AAC"/>
    <w:rsid w:val="00457889"/>
    <w:rsid w:val="00467EE6"/>
    <w:rsid w:val="004B3768"/>
    <w:rsid w:val="004C37D4"/>
    <w:rsid w:val="004D60CB"/>
    <w:rsid w:val="004E2C31"/>
    <w:rsid w:val="00523913"/>
    <w:rsid w:val="005464F1"/>
    <w:rsid w:val="005671F6"/>
    <w:rsid w:val="005B0259"/>
    <w:rsid w:val="005C40C4"/>
    <w:rsid w:val="005F6445"/>
    <w:rsid w:val="0063736C"/>
    <w:rsid w:val="006F1A97"/>
    <w:rsid w:val="007054B6"/>
    <w:rsid w:val="00724237"/>
    <w:rsid w:val="00775B7C"/>
    <w:rsid w:val="007833BD"/>
    <w:rsid w:val="007C4BBA"/>
    <w:rsid w:val="00823458"/>
    <w:rsid w:val="00902435"/>
    <w:rsid w:val="009710A1"/>
    <w:rsid w:val="009C7B26"/>
    <w:rsid w:val="00A11E52"/>
    <w:rsid w:val="00A1431B"/>
    <w:rsid w:val="00A33678"/>
    <w:rsid w:val="00AF03D4"/>
    <w:rsid w:val="00B26D84"/>
    <w:rsid w:val="00B465D9"/>
    <w:rsid w:val="00BD41E9"/>
    <w:rsid w:val="00C11D6A"/>
    <w:rsid w:val="00C84413"/>
    <w:rsid w:val="00CD13B2"/>
    <w:rsid w:val="00D22C11"/>
    <w:rsid w:val="00D662D5"/>
    <w:rsid w:val="00DE5730"/>
    <w:rsid w:val="00E2324E"/>
    <w:rsid w:val="00E24A67"/>
    <w:rsid w:val="00ED0575"/>
    <w:rsid w:val="00EE25F8"/>
    <w:rsid w:val="00F102CC"/>
    <w:rsid w:val="00F907BD"/>
    <w:rsid w:val="00F91042"/>
    <w:rsid w:val="00F974C8"/>
    <w:rsid w:val="00FA70F8"/>
    <w:rsid w:val="00FC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Wong</dc:creator>
  <cp:lastModifiedBy>Will Wong</cp:lastModifiedBy>
  <cp:revision>18</cp:revision>
  <dcterms:created xsi:type="dcterms:W3CDTF">2023-07-11T17:35:00Z</dcterms:created>
  <dcterms:modified xsi:type="dcterms:W3CDTF">2023-09-30T01:16:00Z</dcterms:modified>
</cp:coreProperties>
</file>