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hyperlink r:id="rId9">
        <w:r>
          <w:rPr>
            <w:rFonts w:ascii="Noto Sans" w:eastAsia="Noto Sans" w:hAnsi="Noto Sans" w:cs="Noto Sans"/>
            <w:color w:val="1155CC"/>
            <w:sz w:val="20"/>
            <w:szCs w:val="20"/>
            <w:u w:val="single"/>
          </w:rPr>
          <w:t>BioSharing Information Resource</w:t>
        </w:r>
      </w:hyperlink>
      <w:r>
        <w:rPr>
          <w:rFonts w:ascii="Noto Sans" w:eastAsia="Noto Sans" w:hAnsi="Noto Sans" w:cs="Noto Sans"/>
          <w:sz w:val="20"/>
          <w:szCs w:val="20"/>
        </w:rPr>
        <w:t>), or animal research (see the </w:t>
      </w:r>
      <w:hyperlink r:id="rId10">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1">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2">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17F427BC"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2892FFF1" w:rsidR="00F102CC" w:rsidRPr="003D5AF6" w:rsidRDefault="00CF0FE0">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3">
              <w:r>
                <w:rPr>
                  <w:rFonts w:ascii="Noto Sans" w:eastAsia="Noto Sans" w:hAnsi="Noto Sans" w:cs="Noto Sans"/>
                  <w:color w:val="434343"/>
                  <w:sz w:val="18"/>
                  <w:szCs w:val="18"/>
                </w:rPr>
                <w:t xml:space="preserve"> </w:t>
              </w:r>
            </w:hyperlink>
            <w:hyperlink r:id="rId14">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5AAC3FE3" w:rsidR="00F102CC" w:rsidRPr="003D5AF6" w:rsidRDefault="00CF0FE0">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4F4CF4A9" w:rsidR="00F102CC" w:rsidRPr="003D5AF6" w:rsidRDefault="00CF0FE0">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06D3E59A" w:rsidR="00F102CC" w:rsidRPr="003D5AF6" w:rsidRDefault="00CF0FE0">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22C3E6E0" w:rsidR="00F102CC" w:rsidRPr="003D5AF6" w:rsidRDefault="00CF0FE0">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Methods section (Whole Genome Sequencing; Donor-of-origin analysis): primary fibroblast </w:t>
            </w:r>
            <w:r>
              <w:rPr>
                <w:rFonts w:ascii="Noto Sans" w:eastAsia="Noto Sans" w:hAnsi="Noto Sans" w:cs="Noto Sans"/>
                <w:color w:val="434343"/>
                <w:sz w:val="18"/>
              </w:rPr>
              <w:t>cultures were derived from marmoset (Callithrix jacchus) tissue biopsies, used solely to obtain chimerism-free reference genotypes by whole-genome sequencing; no genetic modification.</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569C04C5" w:rsidR="00F102CC" w:rsidRPr="003D5AF6" w:rsidRDefault="00F102CC">
            <w:pPr>
              <w:rPr>
                <w:rFonts w:ascii="Noto Sans" w:eastAsia="Noto Sans" w:hAnsi="Noto Sans" w:cs="Noto Sans"/>
                <w:bCs/>
                <w:color w:val="434343"/>
                <w:sz w:val="18"/>
                <w:szCs w:val="18"/>
              </w:rPr>
            </w:pP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608F2869" w:rsidR="00F102CC" w:rsidRPr="003D5AF6" w:rsidRDefault="00CF0FE0">
            <w:pPr>
              <w:rPr>
                <w:rFonts w:ascii="Noto Sans" w:eastAsia="Noto Sans" w:hAnsi="Noto Sans" w:cs="Noto Sans"/>
                <w:bCs/>
                <w:color w:val="434343"/>
                <w:sz w:val="18"/>
                <w:szCs w:val="18"/>
              </w:rPr>
            </w:pPr>
            <w:r>
              <w:rPr>
                <w:rFonts w:ascii="Noto Sans" w:eastAsia="Noto Sans" w:hAnsi="Noto Sans" w:cs="Noto Sans"/>
                <w:color w:val="434343"/>
                <w:sz w:val="18"/>
              </w:rPr>
              <w:t>Methods</w:t>
            </w:r>
            <w:r w:rsidR="008A53CC">
              <w:rPr>
                <w:rFonts w:ascii="Noto Sans" w:eastAsia="Noto Sans" w:hAnsi="Noto Sans" w:cs="Noto Sans"/>
                <w:color w:val="434343"/>
                <w:sz w:val="18"/>
              </w:rPr>
              <w:t xml:space="preserve"> </w:t>
            </w:r>
            <w:r>
              <w:rPr>
                <w:rFonts w:ascii="Noto Sans" w:eastAsia="Noto Sans" w:hAnsi="Noto Sans" w:cs="Noto Sans"/>
                <w:color w:val="434343"/>
                <w:sz w:val="18"/>
              </w:rPr>
              <w:t>(Ethical compliance) and Table 1: species (Callithrix jacchus, common marmoset), sex, age and colony of origin (NEPRC, CLEA Japan, or a non-clinical contract research organization) are reported for each of the 11 marmosets studied; animals were obtained from established breeding colonies.</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3A6FDEB8" w:rsidR="00F102CC" w:rsidRPr="003D5AF6" w:rsidRDefault="00F102CC">
            <w:pPr>
              <w:rPr>
                <w:rFonts w:ascii="Noto Sans" w:eastAsia="Noto Sans" w:hAnsi="Noto Sans" w:cs="Noto Sans"/>
                <w:bCs/>
                <w:color w:val="434343"/>
                <w:sz w:val="18"/>
                <w:szCs w:val="18"/>
              </w:rPr>
            </w:pP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6F1B5564" w:rsidR="00F102CC" w:rsidRPr="003D5AF6" w:rsidRDefault="00CF0FE0">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75191F5B" w:rsidR="00F102CC" w:rsidRPr="003D5AF6" w:rsidRDefault="00CF0FE0">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Microbes: provide species and strain, unique accession </w:t>
            </w:r>
            <w:r>
              <w:rPr>
                <w:rFonts w:ascii="Noto Sans" w:eastAsia="Noto Sans" w:hAnsi="Noto Sans" w:cs="Noto Sans"/>
                <w:color w:val="434343"/>
                <w:sz w:val="18"/>
                <w:szCs w:val="18"/>
              </w:rPr>
              <w:lastRenderedPageBreak/>
              <w:t>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2DE1EF89" w:rsidR="00F102CC" w:rsidRPr="003D5AF6" w:rsidRDefault="00CF0FE0">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23D21026" w:rsidR="00F102CC" w:rsidRPr="00ED6672" w:rsidRDefault="00ED6672">
            <w:pPr>
              <w:rPr>
                <w:rFonts w:ascii="Noto Sans" w:eastAsia="Noto Sans" w:hAnsi="Noto Sans" w:cs="Noto Sans"/>
                <w:bCs/>
                <w:color w:val="434343"/>
                <w:sz w:val="18"/>
                <w:szCs w:val="18"/>
              </w:rPr>
            </w:pPr>
            <w:r w:rsidRPr="00ED6672">
              <w:rPr>
                <w:rFonts w:ascii="Noto Sans" w:eastAsia="Noto Sans" w:hAnsi="Noto Sans" w:cs="Noto Sans"/>
                <w:bCs/>
                <w:color w:val="434343"/>
                <w:sz w:val="18"/>
                <w:szCs w:val="18"/>
              </w:rPr>
              <w:t>N/A</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516B4E7F" w:rsidR="00F102CC" w:rsidRPr="003D5AF6" w:rsidRDefault="008B5C55">
            <w:pPr>
              <w:spacing w:line="225" w:lineRule="auto"/>
              <w:rPr>
                <w:rFonts w:ascii="Noto Sans" w:eastAsia="Noto Sans" w:hAnsi="Noto Sans" w:cs="Noto Sans"/>
                <w:bCs/>
                <w:color w:val="434343"/>
                <w:sz w:val="18"/>
                <w:szCs w:val="18"/>
              </w:rPr>
            </w:pPr>
            <w:r>
              <w:rPr>
                <w:rFonts w:ascii="Noto Sans" w:eastAsia="Noto Sans" w:hAnsi="Noto Sans" w:cs="Noto Sans"/>
                <w:color w:val="434343"/>
                <w:sz w:val="18"/>
              </w:rPr>
              <w:t>N/A</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2B9C97BE" w:rsidR="00F102CC" w:rsidRPr="003D5AF6" w:rsidRDefault="000E0D36">
            <w:pPr>
              <w:spacing w:line="225" w:lineRule="auto"/>
              <w:rPr>
                <w:rFonts w:ascii="Noto Sans" w:eastAsia="Noto Sans" w:hAnsi="Noto Sans" w:cs="Noto Sans"/>
                <w:bCs/>
                <w:color w:val="434343"/>
                <w:sz w:val="18"/>
                <w:szCs w:val="18"/>
              </w:rPr>
            </w:pPr>
            <w:r>
              <w:rPr>
                <w:rFonts w:ascii="Noto Sans" w:eastAsia="Noto Sans" w:hAnsi="Noto Sans" w:cs="Noto Sans"/>
                <w:color w:val="434343"/>
                <w:sz w:val="18"/>
              </w:rPr>
              <w:t xml:space="preserve">Methods. Nucleus Drop-seq library preparation and sequencing: step-by-step protocol available at protocols.io, DOI 10.17504/protocols.io.2srged6. 10X Chromium single-cell 3’ v3: manufacturer’s protocol </w:t>
            </w:r>
            <w:r w:rsidRPr="000E0D36">
              <w:rPr>
                <w:rFonts w:ascii="Noto Sans" w:eastAsia="Noto Sans" w:hAnsi="Noto Sans" w:cs="Noto Sans"/>
                <w:color w:val="434343"/>
                <w:sz w:val="18"/>
              </w:rPr>
              <w:t>version #CG000183_ChromiumSingleCell3</w:t>
            </w:r>
            <w:r w:rsidRPr="000E0D36">
              <w:rPr>
                <w:rFonts w:ascii="Times New Roman" w:eastAsia="Noto Sans" w:hAnsi="Times New Roman" w:cs="Times New Roman"/>
                <w:color w:val="434343"/>
                <w:sz w:val="18"/>
              </w:rPr>
              <w:t>′</w:t>
            </w:r>
            <w:r w:rsidRPr="000E0D36">
              <w:rPr>
                <w:rFonts w:ascii="Noto Sans" w:eastAsia="Noto Sans" w:hAnsi="Noto Sans" w:cs="Noto Sans"/>
                <w:color w:val="434343"/>
                <w:sz w:val="18"/>
              </w:rPr>
              <w:t>_v3_UG_Rev-A</w:t>
            </w:r>
            <w:r w:rsidR="008B5C55">
              <w:rPr>
                <w:rFonts w:ascii="Noto Sans" w:eastAsia="Noto Sans" w:hAnsi="Noto Sans" w:cs="Noto Sans"/>
                <w:color w:val="434343"/>
                <w:sz w:val="18"/>
              </w:rPr>
              <w:t>.</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1D8DC753" w:rsidR="00F102CC" w:rsidRPr="003D5AF6" w:rsidRDefault="00F102CC">
            <w:pPr>
              <w:spacing w:line="225" w:lineRule="auto"/>
              <w:rPr>
                <w:rFonts w:ascii="Noto Sans" w:eastAsia="Noto Sans" w:hAnsi="Noto Sans" w:cs="Noto Sans"/>
                <w:bCs/>
                <w:color w:val="434343"/>
                <w:sz w:val="18"/>
                <w:szCs w:val="18"/>
              </w:rPr>
            </w:pP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08786E0F" w:rsidR="00F102CC" w:rsidRPr="003D5AF6" w:rsidRDefault="008A53C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Not done.  The sample size of </w:t>
            </w:r>
            <w:r>
              <w:rPr>
                <w:rFonts w:ascii="Noto Sans" w:eastAsia="Noto Sans" w:hAnsi="Noto Sans" w:cs="Noto Sans"/>
                <w:bCs/>
                <w:color w:val="434343"/>
                <w:sz w:val="18"/>
                <w:szCs w:val="18"/>
              </w:rPr>
              <w:lastRenderedPageBreak/>
              <w:t>11 marmosets reflect the availability of marmosets that could be used in the study (part of the marmoset brain atlas project or neonates that died after birth).</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63248328" w:rsidR="00F102CC" w:rsidRPr="003D5AF6" w:rsidRDefault="00F102CC">
            <w:pPr>
              <w:spacing w:line="225" w:lineRule="auto"/>
              <w:rPr>
                <w:rFonts w:ascii="Noto Sans" w:eastAsia="Noto Sans" w:hAnsi="Noto Sans" w:cs="Noto Sans"/>
                <w:bCs/>
                <w:color w:val="434343"/>
                <w:sz w:val="18"/>
                <w:szCs w:val="18"/>
              </w:rPr>
            </w:pP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31762818"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4C83A94E" w:rsidR="00F102CC" w:rsidRPr="008B5C55" w:rsidRDefault="008B5C55">
            <w:pPr>
              <w:spacing w:line="225" w:lineRule="auto"/>
              <w:rPr>
                <w:rFonts w:ascii="Noto Sans" w:eastAsia="Noto Sans" w:hAnsi="Noto Sans" w:cs="Noto Sans"/>
                <w:bCs/>
                <w:color w:val="434343"/>
                <w:sz w:val="18"/>
                <w:szCs w:val="18"/>
              </w:rPr>
            </w:pPr>
            <w:r w:rsidRPr="008B5C55">
              <w:rPr>
                <w:rFonts w:ascii="Noto Sans" w:eastAsia="Noto Sans" w:hAnsi="Noto Sans" w:cs="Noto Sans"/>
                <w:bCs/>
                <w:color w:val="434343"/>
                <w:sz w:val="18"/>
                <w:szCs w:val="18"/>
              </w:rPr>
              <w:t>N/A</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7202E3B5"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20950067" w:rsidR="00F102CC" w:rsidRPr="003D5AF6" w:rsidRDefault="008B5C5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56E6AE70" w:rsidR="00F102CC" w:rsidRPr="003D5AF6" w:rsidRDefault="008A53C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Not done. </w:t>
            </w:r>
            <w:r w:rsidRPr="008A53CC">
              <w:rPr>
                <w:rFonts w:ascii="Noto Sans" w:eastAsia="Noto Sans" w:hAnsi="Noto Sans" w:cs="Noto Sans"/>
                <w:bCs/>
                <w:color w:val="434343"/>
                <w:sz w:val="18"/>
                <w:szCs w:val="18"/>
              </w:rPr>
              <w:t>All adult marmosets had no known previous disease and were selected as part of the marmoset brain atlas project</w:t>
            </w:r>
            <w:r>
              <w:rPr>
                <w:rFonts w:ascii="Noto Sans" w:eastAsia="Noto Sans" w:hAnsi="Noto Sans" w:cs="Noto Sans"/>
                <w:bCs/>
                <w:color w:val="434343"/>
                <w:sz w:val="18"/>
                <w:szCs w:val="18"/>
              </w:rPr>
              <w:t xml:space="preserve">. </w:t>
            </w:r>
            <w:r w:rsidRPr="008A53CC">
              <w:rPr>
                <w:rFonts w:ascii="Noto Sans" w:eastAsia="Noto Sans" w:hAnsi="Noto Sans" w:cs="Noto Sans"/>
                <w:bCs/>
                <w:color w:val="434343"/>
                <w:sz w:val="18"/>
                <w:szCs w:val="18"/>
              </w:rPr>
              <w:t>The three neonates were included despite unknown cause of death (not excluded).</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7EB2044D" w:rsidR="00F102CC" w:rsidRPr="003D5AF6" w:rsidRDefault="00F102CC">
            <w:pPr>
              <w:spacing w:line="225" w:lineRule="auto"/>
              <w:rPr>
                <w:rFonts w:ascii="Noto Sans" w:eastAsia="Noto Sans" w:hAnsi="Noto Sans" w:cs="Noto Sans"/>
                <w:bCs/>
                <w:color w:val="434343"/>
                <w:sz w:val="18"/>
                <w:szCs w:val="18"/>
              </w:rPr>
            </w:pP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20D27C3A" w:rsidR="00F102CC" w:rsidRPr="003D5AF6" w:rsidRDefault="00FD33BA">
            <w:pPr>
              <w:spacing w:line="225" w:lineRule="auto"/>
              <w:rPr>
                <w:rFonts w:ascii="Noto Sans" w:eastAsia="Noto Sans" w:hAnsi="Noto Sans" w:cs="Noto Sans"/>
                <w:bCs/>
                <w:color w:val="434343"/>
                <w:sz w:val="18"/>
                <w:szCs w:val="18"/>
              </w:rPr>
            </w:pPr>
            <w:r>
              <w:rPr>
                <w:rFonts w:ascii="Noto Sans" w:eastAsia="Noto Sans" w:hAnsi="Noto Sans" w:cs="Noto Sans"/>
                <w:color w:val="434343"/>
                <w:sz w:val="18"/>
              </w:rPr>
              <w:t>Results/Methods/Table 1: chimerism was independently assessed in 11 marmosets (137 brain tissue samples, plus blood, liver and kidney), each an independent biological replicate; consistent myeloid-lineage-specific chimerism was observed across all animals.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0E5BEA3F"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41ABB7B3" w:rsidR="00F102CC" w:rsidRPr="003D5AF6" w:rsidRDefault="00FD33BA">
            <w:pPr>
              <w:spacing w:line="225" w:lineRule="auto"/>
              <w:rPr>
                <w:rFonts w:ascii="Noto Sans" w:eastAsia="Noto Sans" w:hAnsi="Noto Sans" w:cs="Noto Sans"/>
                <w:bCs/>
                <w:color w:val="434343"/>
                <w:sz w:val="18"/>
                <w:szCs w:val="18"/>
              </w:rPr>
            </w:pPr>
            <w:r>
              <w:rPr>
                <w:rFonts w:ascii="Noto Sans" w:eastAsia="Noto Sans" w:hAnsi="Noto Sans" w:cs="Noto Sans"/>
                <w:color w:val="434343"/>
                <w:sz w:val="18"/>
              </w:rPr>
              <w:t xml:space="preserve">Data represent biological replicates (independent animals and independent tissue dissections/libraries per animal; </w:t>
            </w:r>
            <w:r w:rsidR="0076160D">
              <w:rPr>
                <w:rFonts w:ascii="Noto Sans" w:eastAsia="Noto Sans" w:hAnsi="Noto Sans" w:cs="Noto Sans"/>
                <w:color w:val="434343"/>
                <w:sz w:val="18"/>
              </w:rPr>
              <w:t>Table 1</w:t>
            </w:r>
            <w:r>
              <w:rPr>
                <w:rFonts w:ascii="Noto Sans" w:eastAsia="Noto Sans" w:hAnsi="Noto Sans" w:cs="Noto Sans"/>
                <w:color w:val="434343"/>
                <w:sz w:val="18"/>
              </w:rPr>
              <w:t>); no technical (repeat-library) replicates were generated for a given sample.</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157C6BD2" w:rsidR="00F102CC" w:rsidRPr="003D5AF6" w:rsidRDefault="00FD33B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6BB09426" w:rsidR="00F102CC" w:rsidRPr="003D5AF6" w:rsidRDefault="00FD33BA">
            <w:pPr>
              <w:spacing w:line="225" w:lineRule="auto"/>
              <w:rPr>
                <w:rFonts w:ascii="Noto Sans" w:eastAsia="Noto Sans" w:hAnsi="Noto Sans" w:cs="Noto Sans"/>
                <w:bCs/>
                <w:color w:val="434343"/>
                <w:sz w:val="18"/>
                <w:szCs w:val="18"/>
              </w:rPr>
            </w:pPr>
            <w:r>
              <w:rPr>
                <w:rFonts w:ascii="Noto Sans" w:eastAsia="Noto Sans" w:hAnsi="Noto Sans" w:cs="Noto Sans"/>
                <w:color w:val="434343"/>
                <w:sz w:val="18"/>
              </w:rPr>
              <w:t>Methods (Ethical compliance): approved by the Massachusetts Institute of Technology IACUC, protocol number 051705020.</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189E6E70" w:rsidR="00F102CC" w:rsidRPr="003D5AF6" w:rsidRDefault="00F102CC">
            <w:pPr>
              <w:spacing w:line="225" w:lineRule="auto"/>
              <w:rPr>
                <w:rFonts w:ascii="Noto Sans" w:eastAsia="Noto Sans" w:hAnsi="Noto Sans" w:cs="Noto Sans"/>
                <w:bCs/>
                <w:color w:val="434343"/>
                <w:sz w:val="18"/>
                <w:szCs w:val="18"/>
              </w:rPr>
            </w:pP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319E6C68" w:rsidR="00F102CC" w:rsidRPr="003D5AF6" w:rsidRDefault="008B5C55">
            <w:pPr>
              <w:spacing w:line="225" w:lineRule="auto"/>
              <w:rPr>
                <w:rFonts w:ascii="Noto Sans" w:eastAsia="Noto Sans" w:hAnsi="Noto Sans" w:cs="Noto Sans"/>
                <w:bCs/>
                <w:color w:val="434343"/>
                <w:sz w:val="18"/>
                <w:szCs w:val="18"/>
              </w:rPr>
            </w:pPr>
            <w:r>
              <w:rPr>
                <w:rFonts w:ascii="Noto Sans" w:eastAsia="Noto Sans" w:hAnsi="Noto Sans" w:cs="Noto Sans"/>
                <w:color w:val="434343"/>
                <w:sz w:val="18"/>
              </w:rPr>
              <w:t>N/A</w:t>
            </w: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6FECAB16" w:rsidR="00F102CC" w:rsidRPr="003D5AF6" w:rsidRDefault="008B5C5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10E8537A" w:rsidR="00F102CC" w:rsidRPr="003D5AF6" w:rsidRDefault="008B5C55">
            <w:pPr>
              <w:spacing w:line="225" w:lineRule="auto"/>
              <w:rPr>
                <w:rFonts w:ascii="Noto Sans" w:eastAsia="Noto Sans" w:hAnsi="Noto Sans" w:cs="Noto Sans"/>
                <w:bCs/>
                <w:color w:val="434343"/>
                <w:sz w:val="18"/>
                <w:szCs w:val="18"/>
              </w:rPr>
            </w:pPr>
            <w:r>
              <w:rPr>
                <w:rFonts w:ascii="Noto Sans" w:eastAsia="Noto Sans" w:hAnsi="Noto Sans" w:cs="Noto Sans"/>
                <w:color w:val="434343"/>
                <w:sz w:val="18"/>
              </w:rPr>
              <w:t>Methods (Donor-of-origin analysis and detection of host-sibling doublets; Additional filtering for microglia and macrophage clusters): pre-established filtering criteria (minimum UMI, doublet detection/removal, sub-cluster filtering of non-chimeric, likely misclassified cells) are described, with excluded nuclei and rationale reported (</w:t>
            </w:r>
            <w:r w:rsidR="005B0578">
              <w:rPr>
                <w:rFonts w:ascii="Noto Sans" w:eastAsia="Noto Sans" w:hAnsi="Noto Sans" w:cs="Noto Sans"/>
                <w:color w:val="434343"/>
                <w:sz w:val="18"/>
              </w:rPr>
              <w:t>Appendix 1-t</w:t>
            </w:r>
            <w:r>
              <w:rPr>
                <w:rFonts w:ascii="Noto Sans" w:eastAsia="Noto Sans" w:hAnsi="Noto Sans" w:cs="Noto Sans"/>
                <w:color w:val="434343"/>
                <w:sz w:val="18"/>
              </w:rPr>
              <w:t>able 4, Fig. 2-figure supplement 4, Fig.2-figure supplement 5).</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332782CB" w:rsidR="00F102CC" w:rsidRPr="003D5AF6" w:rsidRDefault="00F102CC">
            <w:pPr>
              <w:spacing w:line="225" w:lineRule="auto"/>
              <w:rPr>
                <w:rFonts w:ascii="Noto Sans" w:eastAsia="Noto Sans" w:hAnsi="Noto Sans" w:cs="Noto Sans"/>
                <w:bCs/>
                <w:color w:val="434343"/>
                <w:sz w:val="18"/>
                <w:szCs w:val="18"/>
              </w:rPr>
            </w:pP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71DEBEF8" w:rsidR="00F102CC" w:rsidRPr="003D5AF6" w:rsidRDefault="008B5C55">
            <w:pPr>
              <w:spacing w:line="225" w:lineRule="auto"/>
              <w:rPr>
                <w:rFonts w:ascii="Noto Sans" w:eastAsia="Noto Sans" w:hAnsi="Noto Sans" w:cs="Noto Sans"/>
                <w:bCs/>
                <w:color w:val="434343"/>
                <w:sz w:val="18"/>
                <w:szCs w:val="18"/>
              </w:rPr>
            </w:pPr>
            <w:r>
              <w:rPr>
                <w:rFonts w:ascii="Noto Sans" w:eastAsia="Noto Sans" w:hAnsi="Noto Sans" w:cs="Noto Sans"/>
                <w:color w:val="434343"/>
                <w:sz w:val="18"/>
              </w:rPr>
              <w:t xml:space="preserve">Methods (Gene expression analysis of host and sibling meta cells; Binomial generalized linear mixed-effects model analysis; Latent factor analysis): differential expression tested with the edgeR </w:t>
            </w:r>
            <w:r>
              <w:rPr>
                <w:rFonts w:ascii="Noto Sans" w:eastAsia="Noto Sans" w:hAnsi="Noto Sans" w:cs="Noto Sans"/>
                <w:color w:val="434343"/>
                <w:sz w:val="18"/>
              </w:rPr>
              <w:lastRenderedPageBreak/>
              <w:t>binomTest, chimerism-vs-covariate relationships tested with binomial generalized linear mixed-effects models (glmer), and PEER latent-factor linear regression; rationale for each test given in the text.</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4ADAD2A8" w:rsidR="00F102CC" w:rsidRPr="003D5AF6" w:rsidRDefault="008B5C55">
            <w:pPr>
              <w:spacing w:line="225" w:lineRule="auto"/>
              <w:rPr>
                <w:rFonts w:ascii="Noto Sans" w:eastAsia="Noto Sans" w:hAnsi="Noto Sans" w:cs="Noto Sans"/>
                <w:bCs/>
                <w:color w:val="434343"/>
                <w:sz w:val="18"/>
                <w:szCs w:val="18"/>
              </w:rPr>
            </w:pPr>
            <w:r>
              <w:rPr>
                <w:rFonts w:ascii="Noto Sans" w:eastAsia="Noto Sans" w:hAnsi="Noto Sans" w:cs="Noto Sans"/>
                <w:color w:val="434343"/>
                <w:sz w:val="18"/>
              </w:rPr>
              <w:t>Methods (Data availability): a data availability statement is provided describing access to all newly generated sequencing datasets.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When newly created datasets are publicly available, provide accession number in repository OR DOI and licensing details where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276185A1" w:rsidR="00F102CC" w:rsidRPr="003D5AF6" w:rsidRDefault="008B5C55">
            <w:pPr>
              <w:spacing w:line="225" w:lineRule="auto"/>
              <w:rPr>
                <w:rFonts w:ascii="Noto Sans" w:eastAsia="Noto Sans" w:hAnsi="Noto Sans" w:cs="Noto Sans"/>
                <w:bCs/>
                <w:color w:val="434343"/>
                <w:sz w:val="18"/>
                <w:szCs w:val="18"/>
              </w:rPr>
            </w:pPr>
            <w:r>
              <w:rPr>
                <w:rFonts w:ascii="Noto Sans" w:eastAsia="Noto Sans" w:hAnsi="Noto Sans" w:cs="Noto Sans"/>
                <w:color w:val="434343"/>
                <w:sz w:val="18"/>
              </w:rPr>
              <w:t xml:space="preserve">Methods (Data availability): snRNA-seq datasets deposited at the BICCN NeMO Archive </w:t>
            </w:r>
            <w:r w:rsidR="00BD3C8B">
              <w:rPr>
                <w:rFonts w:ascii="Noto Sans" w:eastAsia="Noto Sans" w:hAnsi="Noto Sans" w:cs="Noto Sans"/>
                <w:color w:val="434343"/>
                <w:sz w:val="18"/>
              </w:rPr>
              <w:t>(</w:t>
            </w:r>
            <w:r>
              <w:rPr>
                <w:rFonts w:ascii="Noto Sans" w:eastAsia="Noto Sans" w:hAnsi="Noto Sans" w:cs="Noto Sans"/>
                <w:color w:val="434343"/>
                <w:sz w:val="18"/>
              </w:rPr>
              <w:t>https://assets.nemoarchive.org/da</w:t>
            </w:r>
            <w:r w:rsidR="00BD3C8B">
              <w:rPr>
                <w:rFonts w:ascii="Noto Sans" w:eastAsia="Noto Sans" w:hAnsi="Noto Sans" w:cs="Noto Sans"/>
                <w:color w:val="434343"/>
                <w:sz w:val="18"/>
              </w:rPr>
              <w:t>t)</w:t>
            </w:r>
            <w:r>
              <w:rPr>
                <w:rFonts w:ascii="Noto Sans" w:eastAsia="Noto Sans" w:hAnsi="Noto Sans" w:cs="Noto Sans"/>
                <w:color w:val="434343"/>
                <w:sz w:val="18"/>
              </w:rPr>
              <w:t>; whole-genome sequencing deposited at NIH SRA, BioProject PRJNA1068102.</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662A54CB" w:rsidR="00F102CC" w:rsidRPr="003D5AF6" w:rsidRDefault="00F102CC">
            <w:pPr>
              <w:spacing w:line="225" w:lineRule="auto"/>
              <w:rPr>
                <w:rFonts w:ascii="Noto Sans" w:eastAsia="Noto Sans" w:hAnsi="Noto Sans" w:cs="Noto Sans"/>
                <w:bCs/>
                <w:color w:val="434343"/>
                <w:sz w:val="18"/>
                <w:szCs w:val="18"/>
              </w:rPr>
            </w:pPr>
          </w:p>
        </w:tc>
      </w:tr>
      <w:tr w:rsidR="008B5C55"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8B5C55" w:rsidRDefault="008B5C55" w:rsidP="008B5C5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1F474CB8" w:rsidR="008B5C55" w:rsidRPr="008B5C55" w:rsidRDefault="008B5C55" w:rsidP="008B5C55">
            <w:pPr>
              <w:rPr>
                <w:rFonts w:ascii="Noto Sans" w:eastAsia="Noto Sans" w:hAnsi="Noto Sans" w:cs="Noto Sans"/>
                <w:sz w:val="18"/>
                <w:szCs w:val="18"/>
              </w:rPr>
            </w:pPr>
            <w:r>
              <w:rPr>
                <w:rFonts w:ascii="Noto Sans" w:eastAsia="Noto Sans" w:hAnsi="Noto Sans" w:cs="Noto Sans"/>
                <w:color w:val="434343"/>
                <w:sz w:val="18"/>
              </w:rPr>
              <w:t>Methods (Data availability): publicly available marmoset single-cell data from https://assets.nemoarchive.org/dat-1je0mn3</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0103DAE6" w:rsidR="008B5C55" w:rsidRPr="003D5AF6" w:rsidRDefault="008B5C55" w:rsidP="008B5C55">
            <w:pPr>
              <w:spacing w:line="225" w:lineRule="auto"/>
              <w:rPr>
                <w:rFonts w:ascii="Noto Sans" w:eastAsia="Noto Sans" w:hAnsi="Noto Sans" w:cs="Noto Sans"/>
                <w:bCs/>
                <w:color w:val="434343"/>
                <w:sz w:val="18"/>
                <w:szCs w:val="18"/>
              </w:rPr>
            </w:pPr>
          </w:p>
        </w:tc>
      </w:tr>
      <w:tr w:rsidR="008B5C55"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8B5C55" w:rsidRPr="003D5AF6" w:rsidRDefault="008B5C55" w:rsidP="008B5C55">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8B5C55" w:rsidRDefault="008B5C55" w:rsidP="008B5C5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8B5C55" w:rsidRDefault="008B5C55" w:rsidP="008B5C5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8B5C55"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8B5C55" w:rsidRDefault="008B5C55" w:rsidP="008B5C5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8B5C55" w:rsidRDefault="008B5C55" w:rsidP="008B5C5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8B5C55" w:rsidRDefault="008B5C55" w:rsidP="008B5C5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8B5C55"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8B5C55" w:rsidRDefault="008B5C55" w:rsidP="008B5C55">
            <w:pPr>
              <w:rPr>
                <w:rFonts w:ascii="Noto Sans" w:eastAsia="Noto Sans" w:hAnsi="Noto Sans" w:cs="Noto Sans"/>
                <w:color w:val="434343"/>
                <w:sz w:val="18"/>
                <w:szCs w:val="18"/>
              </w:rPr>
            </w:pPr>
            <w:r>
              <w:rPr>
                <w:rFonts w:ascii="Noto Sans" w:eastAsia="Noto Sans" w:hAnsi="Noto Sans" w:cs="Noto Sans"/>
                <w:color w:val="434343"/>
                <w:sz w:val="18"/>
                <w:szCs w:val="18"/>
              </w:rPr>
              <w:t>For any computer code/software/mathematical algorithms essential for replicating the main findings of the study, whether newly generated or re-used, 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4E0F123A" w:rsidR="008B5C55" w:rsidRPr="003D5AF6" w:rsidRDefault="00BD3C8B" w:rsidP="008B5C55">
            <w:pPr>
              <w:spacing w:line="225" w:lineRule="auto"/>
              <w:rPr>
                <w:rFonts w:ascii="Noto Sans" w:eastAsia="Noto Sans" w:hAnsi="Noto Sans" w:cs="Noto Sans"/>
                <w:bCs/>
                <w:color w:val="434343"/>
                <w:sz w:val="18"/>
                <w:szCs w:val="18"/>
              </w:rPr>
            </w:pPr>
            <w:r>
              <w:rPr>
                <w:rFonts w:ascii="Noto Sans" w:eastAsia="Noto Sans" w:hAnsi="Noto Sans" w:cs="Noto Sans"/>
                <w:color w:val="434343"/>
                <w:sz w:val="18"/>
              </w:rPr>
              <w:t>Methods (Software availability): a statement is provided describing all software used, all of which is publicly available.</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0BF1534B" w:rsidR="008B5C55" w:rsidRPr="003D5AF6" w:rsidRDefault="008B5C55" w:rsidP="008B5C55">
            <w:pPr>
              <w:spacing w:line="225" w:lineRule="auto"/>
              <w:rPr>
                <w:rFonts w:ascii="Noto Sans" w:eastAsia="Noto Sans" w:hAnsi="Noto Sans" w:cs="Noto Sans"/>
                <w:bCs/>
                <w:color w:val="434343"/>
                <w:sz w:val="18"/>
                <w:szCs w:val="18"/>
              </w:rPr>
            </w:pPr>
          </w:p>
        </w:tc>
      </w:tr>
      <w:tr w:rsidR="008B5C55"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8B5C55" w:rsidRDefault="008B5C55" w:rsidP="008B5C55">
            <w:pPr>
              <w:rPr>
                <w:rFonts w:ascii="Noto Sans" w:eastAsia="Noto Sans" w:hAnsi="Noto Sans" w:cs="Noto Sans"/>
                <w:color w:val="434343"/>
                <w:sz w:val="18"/>
                <w:szCs w:val="18"/>
              </w:rPr>
            </w:pPr>
            <w:r>
              <w:rPr>
                <w:rFonts w:ascii="Noto Sans" w:eastAsia="Noto Sans" w:hAnsi="Noto Sans" w:cs="Noto Sans"/>
                <w:color w:val="434343"/>
                <w:sz w:val="18"/>
                <w:szCs w:val="18"/>
              </w:rPr>
              <w:t>Where newly generated code is publicly available, provide accession number in repository, OR DOI OR URL and licensing details where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18E983A4" w:rsidR="008B5C55" w:rsidRPr="003D5AF6" w:rsidRDefault="008B5C55" w:rsidP="008B5C55">
            <w:pPr>
              <w:spacing w:line="225" w:lineRule="auto"/>
              <w:rPr>
                <w:rFonts w:ascii="Noto Sans" w:eastAsia="Noto Sans" w:hAnsi="Noto Sans" w:cs="Noto Sans"/>
                <w:bCs/>
                <w:color w:val="434343"/>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6405C141" w:rsidR="008B5C55" w:rsidRPr="003D5AF6" w:rsidRDefault="00BD3C8B" w:rsidP="008B5C5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8B5C55"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8B5C55" w:rsidRDefault="008B5C55" w:rsidP="008B5C5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lastRenderedPageBreak/>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3BDDEF28" w:rsidR="008B5C55" w:rsidRPr="003D5AF6" w:rsidRDefault="00BD3C8B" w:rsidP="008B5C55">
            <w:pPr>
              <w:spacing w:line="225" w:lineRule="auto"/>
              <w:rPr>
                <w:rFonts w:ascii="Noto Sans" w:eastAsia="Noto Sans" w:hAnsi="Noto Sans" w:cs="Noto Sans"/>
                <w:bCs/>
                <w:color w:val="434343"/>
                <w:sz w:val="18"/>
                <w:szCs w:val="18"/>
              </w:rPr>
            </w:pPr>
            <w:r>
              <w:rPr>
                <w:rFonts w:ascii="Noto Sans" w:eastAsia="Noto Sans" w:hAnsi="Noto Sans" w:cs="Noto Sans"/>
                <w:color w:val="434343"/>
                <w:sz w:val="18"/>
              </w:rPr>
              <w:t>Methods (Software availability): bwa (https://github.com/lh3/bwa), GATK (https://gatk.broadinstitute.org), BCFtools (https://github.com/samtools/bcftools), samtools (http://www.htslib.org/download), Picard Tools, Seurat, scType, SCTransform and PEER, with URLs provided for each. The Drop-seq software suite, including the Dropulation and Census-seq tools used for donor-of-origin/chimerism analysis, is publicly available at https://github.com/broadinstitute/Drop-seq.</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793BC5DE" w:rsidR="008B5C55" w:rsidRPr="003D5AF6" w:rsidRDefault="008B5C55" w:rsidP="008B5C55">
            <w:pPr>
              <w:spacing w:line="225" w:lineRule="auto"/>
              <w:rPr>
                <w:rFonts w:ascii="Noto Sans" w:eastAsia="Noto Sans" w:hAnsi="Noto Sans" w:cs="Noto Sans"/>
                <w:bCs/>
                <w:color w:val="434343"/>
                <w:sz w:val="18"/>
                <w:szCs w:val="18"/>
              </w:rPr>
            </w:pP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06038DD1" w:rsidR="00F102CC" w:rsidRPr="003D5AF6" w:rsidRDefault="00BD3C8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04D0CB4" w14:textId="77777777" w:rsidR="00F102CC" w:rsidRDefault="00F102CC">
      <w:pPr>
        <w:spacing w:line="227" w:lineRule="auto"/>
        <w:rPr>
          <w:rFonts w:ascii="Noto Sans" w:eastAsia="Noto Sans" w:hAnsi="Noto Sans" w:cs="Noto Sans"/>
          <w:b/>
          <w:color w:val="434343"/>
          <w:sz w:val="18"/>
          <w:szCs w:val="18"/>
        </w:rPr>
      </w:pPr>
    </w:p>
    <w:bookmarkStart w:id="3" w:name="_cm0qssfkw66b" w:colFirst="0" w:colLast="0"/>
    <w:bookmarkEnd w:id="3"/>
    <w:p w14:paraId="36ED3EAB" w14:textId="77777777" w:rsidR="00F102CC" w:rsidRDefault="0004004F">
      <w:pPr>
        <w:spacing w:before="80"/>
      </w:pPr>
      <w:r>
        <w:pict w14:anchorId="096F0D86">
          <v:rect id="Horizontal Line 1" o:spid="_x0000_s2050" alt="" style="width:482.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5">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lastRenderedPageBreak/>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High-throughput sequence data should be uploaded before submission, with a private link for reviewers provided (these are available from both GEO and ArrayExpress)</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6"/>
      <w:footerReference w:type="default" r:id="rId17"/>
      <w:headerReference w:type="first" r:id="rId18"/>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7065B3F" w14:textId="77777777" w:rsidR="0004004F" w:rsidRDefault="0004004F">
      <w:r>
        <w:separator/>
      </w:r>
    </w:p>
  </w:endnote>
  <w:endnote w:type="continuationSeparator" w:id="0">
    <w:p w14:paraId="099E1AF0" w14:textId="77777777" w:rsidR="0004004F" w:rsidRDefault="00040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altName w:val="Mangal"/>
    <w:panose1 w:val="020B0502040504020204"/>
    <w:charset w:val="00"/>
    <w:family w:val="swiss"/>
    <w:pitch w:val="variable"/>
    <w:sig w:usb0="E00082FF" w:usb1="400078FF" w:usb2="0000002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002B67D" w14:textId="77777777" w:rsidR="0004004F" w:rsidRDefault="0004004F">
      <w:r>
        <w:separator/>
      </w:r>
    </w:p>
  </w:footnote>
  <w:footnote w:type="continuationSeparator" w:id="0">
    <w:p w14:paraId="6A7B76E2" w14:textId="77777777" w:rsidR="0004004F" w:rsidRDefault="000400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4004F"/>
    <w:rsid w:val="000B600B"/>
    <w:rsid w:val="000E0D36"/>
    <w:rsid w:val="001370DF"/>
    <w:rsid w:val="001B3BCC"/>
    <w:rsid w:val="002209A8"/>
    <w:rsid w:val="003D5AF6"/>
    <w:rsid w:val="00400C53"/>
    <w:rsid w:val="00427975"/>
    <w:rsid w:val="004E2C31"/>
    <w:rsid w:val="004F49D1"/>
    <w:rsid w:val="005B0259"/>
    <w:rsid w:val="005B0578"/>
    <w:rsid w:val="007054B6"/>
    <w:rsid w:val="0076160D"/>
    <w:rsid w:val="0078687E"/>
    <w:rsid w:val="008A53CC"/>
    <w:rsid w:val="008B5C55"/>
    <w:rsid w:val="009C7B26"/>
    <w:rsid w:val="00A11E52"/>
    <w:rsid w:val="00AB07B8"/>
    <w:rsid w:val="00B2483D"/>
    <w:rsid w:val="00B92770"/>
    <w:rsid w:val="00BD3C8B"/>
    <w:rsid w:val="00BD41E9"/>
    <w:rsid w:val="00C84413"/>
    <w:rsid w:val="00CF0FE0"/>
    <w:rsid w:val="00ED6672"/>
    <w:rsid w:val="00F102CC"/>
    <w:rsid w:val="00F91042"/>
    <w:rsid w:val="00FD33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reviewer.elifesciences.org/author-guide/journal-polici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8/d41586-020-01751-5" TargetMode="External"/><Relationship Id="rId5" Type="http://schemas.openxmlformats.org/officeDocument/2006/relationships/footnotes" Target="footnotes.xml"/><Relationship Id="rId15" Type="http://schemas.openxmlformats.org/officeDocument/2006/relationships/hyperlink" Target="https://doi.org/10.7554/eLife.48175" TargetMode="External"/><Relationship Id="rId10" Type="http://schemas.openxmlformats.org/officeDocument/2006/relationships/hyperlink" Target="http://www.plosbiology.org/article/info:doi/10.1371/journal.pbio.100041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iosharing.org/" TargetMode="External"/><Relationship Id="rId14" Type="http://schemas.openxmlformats.org/officeDocument/2006/relationships/hyperlink" Target="https://scicrunch.org/resourc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8</Pages>
  <Words>1963</Words>
  <Characters>11193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Ric del Rosario</cp:lastModifiedBy>
  <cp:revision>13</cp:revision>
  <dcterms:created xsi:type="dcterms:W3CDTF">2022-02-28T12:21:00Z</dcterms:created>
  <dcterms:modified xsi:type="dcterms:W3CDTF">2026-07-29T18:08:00Z</dcterms:modified>
</cp:coreProperties>
</file>