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6"/>
        <w:gridCol w:w="899"/>
        <w:gridCol w:w="899"/>
        <w:gridCol w:w="899"/>
        <w:gridCol w:w="898"/>
        <w:gridCol w:w="899"/>
        <w:gridCol w:w="898"/>
        <w:gridCol w:w="899"/>
      </w:tblGrid>
      <w:tr w:rsidR="00797DF4" w:rsidRPr="00583828" w14:paraId="5A287A9B" w14:textId="77777777" w:rsidTr="00797DF4">
        <w:trPr>
          <w:trHeight w:val="288"/>
        </w:trPr>
        <w:tc>
          <w:tcPr>
            <w:tcW w:w="2966" w:type="dxa"/>
          </w:tcPr>
          <w:p w14:paraId="5EDEF251" w14:textId="673AAB8B" w:rsidR="00797DF4" w:rsidRPr="00583828" w:rsidRDefault="00797DF4" w:rsidP="00583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828">
              <w:rPr>
                <w:rFonts w:ascii="Arial" w:hAnsi="Arial" w:cs="Arial"/>
                <w:sz w:val="20"/>
                <w:szCs w:val="20"/>
              </w:rPr>
              <w:t>Dataset</w:t>
            </w:r>
          </w:p>
        </w:tc>
        <w:tc>
          <w:tcPr>
            <w:tcW w:w="899" w:type="dxa"/>
          </w:tcPr>
          <w:p w14:paraId="2A02FE0B" w14:textId="0E769F0C" w:rsidR="00797DF4" w:rsidRPr="00583828" w:rsidRDefault="00797DF4" w:rsidP="00583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828">
              <w:rPr>
                <w:rFonts w:ascii="Arial" w:hAnsi="Arial" w:cs="Arial"/>
                <w:sz w:val="20"/>
                <w:szCs w:val="20"/>
              </w:rPr>
              <w:t>Ser 20</w:t>
            </w:r>
          </w:p>
        </w:tc>
        <w:tc>
          <w:tcPr>
            <w:tcW w:w="899" w:type="dxa"/>
          </w:tcPr>
          <w:p w14:paraId="4FD8C60F" w14:textId="042F2618" w:rsidR="00797DF4" w:rsidRPr="00583828" w:rsidRDefault="00797DF4" w:rsidP="00583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828">
              <w:rPr>
                <w:rFonts w:ascii="Arial" w:hAnsi="Arial" w:cs="Arial"/>
                <w:sz w:val="20"/>
                <w:szCs w:val="20"/>
              </w:rPr>
              <w:t>Ser 22</w:t>
            </w:r>
          </w:p>
        </w:tc>
        <w:tc>
          <w:tcPr>
            <w:tcW w:w="899" w:type="dxa"/>
          </w:tcPr>
          <w:p w14:paraId="4A331407" w14:textId="30E4DBF9" w:rsidR="00797DF4" w:rsidRPr="00583828" w:rsidRDefault="00797DF4" w:rsidP="00583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828">
              <w:rPr>
                <w:rFonts w:ascii="Arial" w:hAnsi="Arial" w:cs="Arial"/>
                <w:sz w:val="20"/>
                <w:szCs w:val="20"/>
              </w:rPr>
              <w:t>Ser 27</w:t>
            </w:r>
          </w:p>
        </w:tc>
        <w:tc>
          <w:tcPr>
            <w:tcW w:w="898" w:type="dxa"/>
          </w:tcPr>
          <w:p w14:paraId="24941D92" w14:textId="1813D0B7" w:rsidR="00797DF4" w:rsidRPr="00583828" w:rsidRDefault="00797DF4" w:rsidP="00583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3828">
              <w:rPr>
                <w:rFonts w:ascii="Arial" w:hAnsi="Arial" w:cs="Arial"/>
                <w:sz w:val="20"/>
                <w:szCs w:val="20"/>
              </w:rPr>
              <w:t>Thr</w:t>
            </w:r>
            <w:proofErr w:type="spellEnd"/>
            <w:r w:rsidRPr="00583828"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899" w:type="dxa"/>
          </w:tcPr>
          <w:p w14:paraId="613F3963" w14:textId="506D9174" w:rsidR="00797DF4" w:rsidRPr="00583828" w:rsidRDefault="00797DF4" w:rsidP="00583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828">
              <w:rPr>
                <w:rFonts w:ascii="Arial" w:hAnsi="Arial" w:cs="Arial"/>
                <w:sz w:val="20"/>
                <w:szCs w:val="20"/>
              </w:rPr>
              <w:t>Ser 29</w:t>
            </w:r>
          </w:p>
        </w:tc>
        <w:tc>
          <w:tcPr>
            <w:tcW w:w="898" w:type="dxa"/>
          </w:tcPr>
          <w:p w14:paraId="51897284" w14:textId="2488B2B1" w:rsidR="00797DF4" w:rsidRPr="00583828" w:rsidRDefault="00797DF4" w:rsidP="00583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3828">
              <w:rPr>
                <w:rFonts w:ascii="Arial" w:hAnsi="Arial" w:cs="Arial"/>
                <w:sz w:val="20"/>
                <w:szCs w:val="20"/>
              </w:rPr>
              <w:t>Thr</w:t>
            </w:r>
            <w:proofErr w:type="spellEnd"/>
            <w:r w:rsidRPr="00583828">
              <w:rPr>
                <w:rFonts w:ascii="Arial" w:hAnsi="Arial" w:cs="Arial"/>
                <w:sz w:val="20"/>
                <w:szCs w:val="20"/>
              </w:rPr>
              <w:t xml:space="preserve"> 31</w:t>
            </w:r>
          </w:p>
        </w:tc>
        <w:tc>
          <w:tcPr>
            <w:tcW w:w="899" w:type="dxa"/>
          </w:tcPr>
          <w:p w14:paraId="0BE32BE4" w14:textId="77777777" w:rsidR="00797DF4" w:rsidRPr="00583828" w:rsidRDefault="00797DF4" w:rsidP="00583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828">
              <w:rPr>
                <w:rFonts w:ascii="Arial" w:hAnsi="Arial" w:cs="Arial"/>
                <w:sz w:val="20"/>
                <w:szCs w:val="20"/>
              </w:rPr>
              <w:t>Ser 33</w:t>
            </w:r>
          </w:p>
          <w:p w14:paraId="20FB0CD8" w14:textId="1014A0B2" w:rsidR="00797DF4" w:rsidRPr="00583828" w:rsidRDefault="00797DF4" w:rsidP="00583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DF4" w14:paraId="7223B02F" w14:textId="77777777" w:rsidTr="00797DF4">
        <w:trPr>
          <w:trHeight w:val="288"/>
        </w:trPr>
        <w:tc>
          <w:tcPr>
            <w:tcW w:w="2966" w:type="dxa"/>
          </w:tcPr>
          <w:p w14:paraId="5DF478BA" w14:textId="7BEB8FE5" w:rsidR="00797DF4" w:rsidRDefault="00797DF4" w:rsidP="00583828">
            <w:pPr>
              <w:jc w:val="center"/>
            </w:pPr>
            <w:r>
              <w:t>Fig</w:t>
            </w:r>
            <w:r w:rsidR="0024485E">
              <w:t>ure</w:t>
            </w:r>
            <w:r>
              <w:t xml:space="preserve"> 4 (rap dependence)</w:t>
            </w:r>
          </w:p>
        </w:tc>
        <w:tc>
          <w:tcPr>
            <w:tcW w:w="899" w:type="dxa"/>
          </w:tcPr>
          <w:p w14:paraId="06C87168" w14:textId="28773EE5" w:rsidR="00797DF4" w:rsidRPr="00583828" w:rsidRDefault="00797DF4" w:rsidP="00583828">
            <w:pPr>
              <w:jc w:val="center"/>
              <w:rPr>
                <w:color w:val="FF0000"/>
              </w:rPr>
            </w:pPr>
            <w:r w:rsidRPr="00583828">
              <w:rPr>
                <w:color w:val="FF0000"/>
              </w:rPr>
              <w:t>x</w:t>
            </w:r>
          </w:p>
        </w:tc>
        <w:tc>
          <w:tcPr>
            <w:tcW w:w="899" w:type="dxa"/>
          </w:tcPr>
          <w:p w14:paraId="52B36398" w14:textId="3DAB16E9" w:rsidR="00797DF4" w:rsidRPr="00583828" w:rsidRDefault="00797DF4" w:rsidP="00583828">
            <w:pPr>
              <w:jc w:val="center"/>
              <w:rPr>
                <w:color w:val="FF0000"/>
              </w:rPr>
            </w:pPr>
            <w:r w:rsidRPr="00583828">
              <w:rPr>
                <w:color w:val="FF0000"/>
              </w:rPr>
              <w:t>x</w:t>
            </w:r>
          </w:p>
        </w:tc>
        <w:tc>
          <w:tcPr>
            <w:tcW w:w="899" w:type="dxa"/>
          </w:tcPr>
          <w:p w14:paraId="47009CA1" w14:textId="77777777" w:rsidR="00797DF4" w:rsidRPr="00583828" w:rsidRDefault="00797DF4" w:rsidP="00583828">
            <w:pPr>
              <w:jc w:val="center"/>
              <w:rPr>
                <w:color w:val="FF0000"/>
              </w:rPr>
            </w:pPr>
          </w:p>
        </w:tc>
        <w:tc>
          <w:tcPr>
            <w:tcW w:w="898" w:type="dxa"/>
          </w:tcPr>
          <w:p w14:paraId="7D85A13B" w14:textId="37ADDA83" w:rsidR="00797DF4" w:rsidRPr="00583828" w:rsidRDefault="00797DF4" w:rsidP="00583828">
            <w:pPr>
              <w:jc w:val="center"/>
              <w:rPr>
                <w:color w:val="FF0000"/>
              </w:rPr>
            </w:pPr>
            <w:r w:rsidRPr="00583828">
              <w:rPr>
                <w:color w:val="FF0000"/>
              </w:rPr>
              <w:t>x</w:t>
            </w:r>
          </w:p>
        </w:tc>
        <w:tc>
          <w:tcPr>
            <w:tcW w:w="899" w:type="dxa"/>
          </w:tcPr>
          <w:p w14:paraId="0A873EFC" w14:textId="7EA6F1C0" w:rsidR="00797DF4" w:rsidRPr="00583828" w:rsidRDefault="00797DF4" w:rsidP="00583828">
            <w:pPr>
              <w:jc w:val="center"/>
              <w:rPr>
                <w:color w:val="FF0000"/>
              </w:rPr>
            </w:pPr>
            <w:r w:rsidRPr="00583828">
              <w:rPr>
                <w:color w:val="FF0000"/>
              </w:rPr>
              <w:t>x</w:t>
            </w:r>
          </w:p>
        </w:tc>
        <w:tc>
          <w:tcPr>
            <w:tcW w:w="898" w:type="dxa"/>
          </w:tcPr>
          <w:p w14:paraId="01880844" w14:textId="77777777" w:rsidR="00797DF4" w:rsidRPr="00583828" w:rsidRDefault="00797DF4" w:rsidP="00583828">
            <w:pPr>
              <w:jc w:val="center"/>
              <w:rPr>
                <w:color w:val="FF0000"/>
              </w:rPr>
            </w:pPr>
          </w:p>
        </w:tc>
        <w:tc>
          <w:tcPr>
            <w:tcW w:w="899" w:type="dxa"/>
          </w:tcPr>
          <w:p w14:paraId="5AB1CD74" w14:textId="77777777" w:rsidR="00797DF4" w:rsidRDefault="00797DF4" w:rsidP="00583828">
            <w:pPr>
              <w:jc w:val="center"/>
            </w:pPr>
          </w:p>
        </w:tc>
      </w:tr>
      <w:tr w:rsidR="00797DF4" w14:paraId="6D4E782A" w14:textId="77777777" w:rsidTr="00797DF4">
        <w:trPr>
          <w:trHeight w:val="288"/>
        </w:trPr>
        <w:tc>
          <w:tcPr>
            <w:tcW w:w="2966" w:type="dxa"/>
          </w:tcPr>
          <w:p w14:paraId="5E2AE698" w14:textId="1DC1AF6A" w:rsidR="00797DF4" w:rsidRDefault="00797DF4" w:rsidP="00583828">
            <w:pPr>
              <w:jc w:val="center"/>
            </w:pPr>
            <w:r>
              <w:t>Soulard (rap dependence)</w:t>
            </w:r>
          </w:p>
        </w:tc>
        <w:tc>
          <w:tcPr>
            <w:tcW w:w="899" w:type="dxa"/>
          </w:tcPr>
          <w:p w14:paraId="2EDD483C" w14:textId="09E1A9A3" w:rsidR="00797DF4" w:rsidRPr="00583828" w:rsidRDefault="00797DF4" w:rsidP="00583828">
            <w:pPr>
              <w:jc w:val="center"/>
              <w:rPr>
                <w:color w:val="FF0000"/>
              </w:rPr>
            </w:pPr>
            <w:r w:rsidRPr="00583828">
              <w:rPr>
                <w:color w:val="FF0000"/>
              </w:rPr>
              <w:t>x</w:t>
            </w:r>
          </w:p>
        </w:tc>
        <w:tc>
          <w:tcPr>
            <w:tcW w:w="899" w:type="dxa"/>
          </w:tcPr>
          <w:p w14:paraId="7A28F8AA" w14:textId="65955BA4" w:rsidR="00797DF4" w:rsidRPr="00583828" w:rsidRDefault="00797DF4" w:rsidP="00583828">
            <w:pPr>
              <w:jc w:val="center"/>
              <w:rPr>
                <w:color w:val="FF0000"/>
              </w:rPr>
            </w:pPr>
            <w:r w:rsidRPr="00583828">
              <w:rPr>
                <w:color w:val="FF0000"/>
              </w:rPr>
              <w:t>x</w:t>
            </w:r>
          </w:p>
        </w:tc>
        <w:tc>
          <w:tcPr>
            <w:tcW w:w="899" w:type="dxa"/>
          </w:tcPr>
          <w:p w14:paraId="10D88DEB" w14:textId="77777777" w:rsidR="00797DF4" w:rsidRPr="00583828" w:rsidRDefault="00797DF4" w:rsidP="00583828">
            <w:pPr>
              <w:jc w:val="center"/>
              <w:rPr>
                <w:color w:val="FF0000"/>
              </w:rPr>
            </w:pPr>
          </w:p>
        </w:tc>
        <w:tc>
          <w:tcPr>
            <w:tcW w:w="898" w:type="dxa"/>
          </w:tcPr>
          <w:p w14:paraId="5EC92319" w14:textId="7647ADA3" w:rsidR="00797DF4" w:rsidRPr="00583828" w:rsidRDefault="00797DF4" w:rsidP="00583828">
            <w:pPr>
              <w:jc w:val="center"/>
              <w:rPr>
                <w:color w:val="FF0000"/>
              </w:rPr>
            </w:pPr>
          </w:p>
        </w:tc>
        <w:tc>
          <w:tcPr>
            <w:tcW w:w="899" w:type="dxa"/>
          </w:tcPr>
          <w:p w14:paraId="65544ECC" w14:textId="36DD3BC7" w:rsidR="00797DF4" w:rsidRPr="00583828" w:rsidRDefault="00797DF4" w:rsidP="00583828">
            <w:pPr>
              <w:jc w:val="center"/>
              <w:rPr>
                <w:color w:val="FF0000"/>
              </w:rPr>
            </w:pPr>
            <w:r w:rsidRPr="00583828">
              <w:rPr>
                <w:color w:val="FF0000"/>
              </w:rPr>
              <w:t>x</w:t>
            </w:r>
          </w:p>
        </w:tc>
        <w:tc>
          <w:tcPr>
            <w:tcW w:w="898" w:type="dxa"/>
          </w:tcPr>
          <w:p w14:paraId="6E5FC458" w14:textId="604B1AFB" w:rsidR="00797DF4" w:rsidRPr="00583828" w:rsidRDefault="00797DF4" w:rsidP="00583828">
            <w:pPr>
              <w:jc w:val="center"/>
              <w:rPr>
                <w:color w:val="FF0000"/>
              </w:rPr>
            </w:pPr>
            <w:r w:rsidRPr="00583828">
              <w:rPr>
                <w:color w:val="FF0000"/>
              </w:rPr>
              <w:t>x</w:t>
            </w:r>
          </w:p>
        </w:tc>
        <w:tc>
          <w:tcPr>
            <w:tcW w:w="899" w:type="dxa"/>
          </w:tcPr>
          <w:p w14:paraId="6AFC54CF" w14:textId="77777777" w:rsidR="00797DF4" w:rsidRDefault="00797DF4" w:rsidP="00583828">
            <w:pPr>
              <w:jc w:val="center"/>
            </w:pPr>
          </w:p>
        </w:tc>
      </w:tr>
      <w:tr w:rsidR="00797DF4" w14:paraId="46CFAE31" w14:textId="77777777" w:rsidTr="00797DF4">
        <w:trPr>
          <w:trHeight w:val="288"/>
        </w:trPr>
        <w:tc>
          <w:tcPr>
            <w:tcW w:w="2966" w:type="dxa"/>
          </w:tcPr>
          <w:p w14:paraId="60D19FC7" w14:textId="7590CC57" w:rsidR="00797DF4" w:rsidRDefault="00797DF4" w:rsidP="00583828">
            <w:pPr>
              <w:jc w:val="center"/>
            </w:pPr>
            <w:proofErr w:type="spellStart"/>
            <w:r w:rsidRPr="00797DF4">
              <w:t>Dokládal</w:t>
            </w:r>
            <w:proofErr w:type="spellEnd"/>
            <w:r>
              <w:t xml:space="preserve"> (rap dependence)</w:t>
            </w:r>
          </w:p>
        </w:tc>
        <w:tc>
          <w:tcPr>
            <w:tcW w:w="899" w:type="dxa"/>
          </w:tcPr>
          <w:p w14:paraId="64EB6E3B" w14:textId="60067CB2" w:rsidR="00797DF4" w:rsidRDefault="00797DF4" w:rsidP="00583828">
            <w:pPr>
              <w:jc w:val="center"/>
            </w:pPr>
            <w:r w:rsidRPr="00583828">
              <w:rPr>
                <w:color w:val="FF0000"/>
              </w:rPr>
              <w:t>x</w:t>
            </w:r>
          </w:p>
        </w:tc>
        <w:tc>
          <w:tcPr>
            <w:tcW w:w="899" w:type="dxa"/>
          </w:tcPr>
          <w:p w14:paraId="36F0BE94" w14:textId="0A50A189" w:rsidR="00797DF4" w:rsidRDefault="00797DF4" w:rsidP="00583828">
            <w:pPr>
              <w:jc w:val="center"/>
            </w:pPr>
            <w:r w:rsidRPr="00583828">
              <w:rPr>
                <w:color w:val="FF0000"/>
              </w:rPr>
              <w:t>x</w:t>
            </w:r>
          </w:p>
        </w:tc>
        <w:tc>
          <w:tcPr>
            <w:tcW w:w="899" w:type="dxa"/>
          </w:tcPr>
          <w:p w14:paraId="4CCBF1E1" w14:textId="5251CC7A" w:rsidR="00797DF4" w:rsidRDefault="00797DF4" w:rsidP="00583828">
            <w:pPr>
              <w:jc w:val="center"/>
            </w:pPr>
            <w:r w:rsidRPr="00583828">
              <w:rPr>
                <w:color w:val="FF0000"/>
              </w:rPr>
              <w:t>x</w:t>
            </w:r>
          </w:p>
        </w:tc>
        <w:tc>
          <w:tcPr>
            <w:tcW w:w="898" w:type="dxa"/>
          </w:tcPr>
          <w:p w14:paraId="470B34D5" w14:textId="271E37A4" w:rsidR="00797DF4" w:rsidRDefault="00797DF4" w:rsidP="00583828">
            <w:pPr>
              <w:jc w:val="center"/>
            </w:pPr>
            <w:r w:rsidRPr="00583828">
              <w:rPr>
                <w:color w:val="FF0000"/>
              </w:rPr>
              <w:t>x</w:t>
            </w:r>
          </w:p>
        </w:tc>
        <w:tc>
          <w:tcPr>
            <w:tcW w:w="899" w:type="dxa"/>
          </w:tcPr>
          <w:p w14:paraId="13F69F08" w14:textId="77777777" w:rsidR="00797DF4" w:rsidRDefault="00797DF4" w:rsidP="00583828">
            <w:pPr>
              <w:jc w:val="center"/>
            </w:pPr>
          </w:p>
        </w:tc>
        <w:tc>
          <w:tcPr>
            <w:tcW w:w="898" w:type="dxa"/>
          </w:tcPr>
          <w:p w14:paraId="773FAC9A" w14:textId="77777777" w:rsidR="00797DF4" w:rsidRDefault="00797DF4" w:rsidP="00583828">
            <w:pPr>
              <w:jc w:val="center"/>
            </w:pPr>
          </w:p>
        </w:tc>
        <w:tc>
          <w:tcPr>
            <w:tcW w:w="899" w:type="dxa"/>
          </w:tcPr>
          <w:p w14:paraId="60CD80B6" w14:textId="73EA9B31" w:rsidR="00797DF4" w:rsidRDefault="00797DF4" w:rsidP="00583828">
            <w:pPr>
              <w:jc w:val="center"/>
            </w:pPr>
            <w:r w:rsidRPr="00583828">
              <w:rPr>
                <w:color w:val="FF0000"/>
              </w:rPr>
              <w:t>x</w:t>
            </w:r>
          </w:p>
        </w:tc>
      </w:tr>
      <w:tr w:rsidR="00797DF4" w14:paraId="3D0D81B4" w14:textId="77777777" w:rsidTr="00797DF4">
        <w:trPr>
          <w:trHeight w:val="288"/>
        </w:trPr>
        <w:tc>
          <w:tcPr>
            <w:tcW w:w="2966" w:type="dxa"/>
          </w:tcPr>
          <w:p w14:paraId="7664E3E8" w14:textId="78FD1986" w:rsidR="00797DF4" w:rsidRDefault="00797DF4" w:rsidP="00583828">
            <w:pPr>
              <w:jc w:val="center"/>
            </w:pPr>
            <w:r>
              <w:t>Ser33-IP in SC (rep 1)</w:t>
            </w:r>
          </w:p>
        </w:tc>
        <w:tc>
          <w:tcPr>
            <w:tcW w:w="899" w:type="dxa"/>
          </w:tcPr>
          <w:p w14:paraId="178836D7" w14:textId="1571A7F6" w:rsidR="00797DF4" w:rsidRDefault="00797DF4" w:rsidP="00583828">
            <w:pPr>
              <w:jc w:val="center"/>
            </w:pPr>
            <w:r>
              <w:t>x</w:t>
            </w:r>
          </w:p>
        </w:tc>
        <w:tc>
          <w:tcPr>
            <w:tcW w:w="899" w:type="dxa"/>
          </w:tcPr>
          <w:p w14:paraId="5FAC9DCF" w14:textId="4002EF20" w:rsidR="00797DF4" w:rsidRDefault="00797DF4" w:rsidP="00583828">
            <w:pPr>
              <w:jc w:val="center"/>
            </w:pPr>
            <w:r>
              <w:t>x</w:t>
            </w:r>
          </w:p>
        </w:tc>
        <w:tc>
          <w:tcPr>
            <w:tcW w:w="899" w:type="dxa"/>
          </w:tcPr>
          <w:p w14:paraId="7C2F07E1" w14:textId="4B9C86DA" w:rsidR="00797DF4" w:rsidRDefault="00797DF4" w:rsidP="00583828">
            <w:pPr>
              <w:jc w:val="center"/>
            </w:pPr>
            <w:r>
              <w:t>x</w:t>
            </w:r>
          </w:p>
        </w:tc>
        <w:tc>
          <w:tcPr>
            <w:tcW w:w="898" w:type="dxa"/>
          </w:tcPr>
          <w:p w14:paraId="334E4258" w14:textId="77777777" w:rsidR="00797DF4" w:rsidRDefault="00797DF4" w:rsidP="00583828">
            <w:pPr>
              <w:jc w:val="center"/>
            </w:pPr>
          </w:p>
        </w:tc>
        <w:tc>
          <w:tcPr>
            <w:tcW w:w="899" w:type="dxa"/>
          </w:tcPr>
          <w:p w14:paraId="5C53EA55" w14:textId="77777777" w:rsidR="00797DF4" w:rsidRDefault="00797DF4" w:rsidP="00583828">
            <w:pPr>
              <w:jc w:val="center"/>
            </w:pPr>
          </w:p>
        </w:tc>
        <w:tc>
          <w:tcPr>
            <w:tcW w:w="898" w:type="dxa"/>
          </w:tcPr>
          <w:p w14:paraId="1A5199D8" w14:textId="77777777" w:rsidR="00797DF4" w:rsidRDefault="00797DF4" w:rsidP="00583828">
            <w:pPr>
              <w:jc w:val="center"/>
            </w:pPr>
          </w:p>
        </w:tc>
        <w:tc>
          <w:tcPr>
            <w:tcW w:w="899" w:type="dxa"/>
          </w:tcPr>
          <w:p w14:paraId="4787BA93" w14:textId="4EEE2612" w:rsidR="00797DF4" w:rsidRDefault="00797DF4" w:rsidP="00583828">
            <w:pPr>
              <w:jc w:val="center"/>
            </w:pPr>
            <w:r>
              <w:t>x</w:t>
            </w:r>
          </w:p>
        </w:tc>
      </w:tr>
      <w:tr w:rsidR="00797DF4" w14:paraId="32FB91B4" w14:textId="77777777" w:rsidTr="00797DF4">
        <w:trPr>
          <w:trHeight w:val="288"/>
        </w:trPr>
        <w:tc>
          <w:tcPr>
            <w:tcW w:w="2966" w:type="dxa"/>
          </w:tcPr>
          <w:p w14:paraId="4A35AA3C" w14:textId="45BEEEB2" w:rsidR="00797DF4" w:rsidRDefault="00797DF4" w:rsidP="00583828">
            <w:pPr>
              <w:jc w:val="center"/>
            </w:pPr>
            <w:r>
              <w:t>Ser33-IP in rap (rep 1)</w:t>
            </w:r>
          </w:p>
        </w:tc>
        <w:tc>
          <w:tcPr>
            <w:tcW w:w="899" w:type="dxa"/>
          </w:tcPr>
          <w:p w14:paraId="07D0A375" w14:textId="2E5507CF" w:rsidR="00797DF4" w:rsidRDefault="00797DF4" w:rsidP="00583828">
            <w:pPr>
              <w:jc w:val="center"/>
            </w:pPr>
          </w:p>
        </w:tc>
        <w:tc>
          <w:tcPr>
            <w:tcW w:w="899" w:type="dxa"/>
          </w:tcPr>
          <w:p w14:paraId="6A1B62F1" w14:textId="21376851" w:rsidR="00797DF4" w:rsidRDefault="00797DF4" w:rsidP="00583828">
            <w:pPr>
              <w:jc w:val="center"/>
            </w:pPr>
            <w:r>
              <w:t>x</w:t>
            </w:r>
          </w:p>
        </w:tc>
        <w:tc>
          <w:tcPr>
            <w:tcW w:w="899" w:type="dxa"/>
          </w:tcPr>
          <w:p w14:paraId="37AFB488" w14:textId="77777777" w:rsidR="00797DF4" w:rsidRDefault="00797DF4" w:rsidP="00583828">
            <w:pPr>
              <w:jc w:val="center"/>
            </w:pPr>
          </w:p>
        </w:tc>
        <w:tc>
          <w:tcPr>
            <w:tcW w:w="898" w:type="dxa"/>
          </w:tcPr>
          <w:p w14:paraId="6AAD9E58" w14:textId="77777777" w:rsidR="00797DF4" w:rsidRDefault="00797DF4" w:rsidP="00583828">
            <w:pPr>
              <w:jc w:val="center"/>
            </w:pPr>
          </w:p>
        </w:tc>
        <w:tc>
          <w:tcPr>
            <w:tcW w:w="899" w:type="dxa"/>
          </w:tcPr>
          <w:p w14:paraId="21A0871D" w14:textId="77777777" w:rsidR="00797DF4" w:rsidRDefault="00797DF4" w:rsidP="00583828">
            <w:pPr>
              <w:jc w:val="center"/>
            </w:pPr>
          </w:p>
        </w:tc>
        <w:tc>
          <w:tcPr>
            <w:tcW w:w="898" w:type="dxa"/>
          </w:tcPr>
          <w:p w14:paraId="266C21A7" w14:textId="77777777" w:rsidR="00797DF4" w:rsidRDefault="00797DF4" w:rsidP="00583828">
            <w:pPr>
              <w:jc w:val="center"/>
            </w:pPr>
          </w:p>
        </w:tc>
        <w:tc>
          <w:tcPr>
            <w:tcW w:w="899" w:type="dxa"/>
          </w:tcPr>
          <w:p w14:paraId="1D53CD66" w14:textId="65A9B4DB" w:rsidR="00797DF4" w:rsidRDefault="00797DF4" w:rsidP="00583828">
            <w:pPr>
              <w:jc w:val="center"/>
            </w:pPr>
            <w:r>
              <w:t>x</w:t>
            </w:r>
          </w:p>
        </w:tc>
      </w:tr>
      <w:tr w:rsidR="00797DF4" w14:paraId="4D72C564" w14:textId="77777777" w:rsidTr="00797DF4">
        <w:trPr>
          <w:trHeight w:val="288"/>
        </w:trPr>
        <w:tc>
          <w:tcPr>
            <w:tcW w:w="2966" w:type="dxa"/>
          </w:tcPr>
          <w:p w14:paraId="45AEBC32" w14:textId="1A3801F4" w:rsidR="00797DF4" w:rsidRDefault="00797DF4" w:rsidP="00583828">
            <w:pPr>
              <w:jc w:val="center"/>
            </w:pPr>
            <w:r>
              <w:t>Difference (rep 1)</w:t>
            </w:r>
          </w:p>
        </w:tc>
        <w:tc>
          <w:tcPr>
            <w:tcW w:w="899" w:type="dxa"/>
          </w:tcPr>
          <w:p w14:paraId="5B7692EB" w14:textId="5857293B" w:rsidR="00797DF4" w:rsidRDefault="00797DF4" w:rsidP="00583828">
            <w:pPr>
              <w:jc w:val="center"/>
            </w:pPr>
            <w:r w:rsidRPr="00583828">
              <w:rPr>
                <w:color w:val="FF0000"/>
              </w:rPr>
              <w:t>x</w:t>
            </w:r>
          </w:p>
        </w:tc>
        <w:tc>
          <w:tcPr>
            <w:tcW w:w="899" w:type="dxa"/>
          </w:tcPr>
          <w:p w14:paraId="6EEF2985" w14:textId="77777777" w:rsidR="00797DF4" w:rsidRDefault="00797DF4" w:rsidP="00583828">
            <w:pPr>
              <w:jc w:val="center"/>
            </w:pPr>
          </w:p>
        </w:tc>
        <w:tc>
          <w:tcPr>
            <w:tcW w:w="899" w:type="dxa"/>
          </w:tcPr>
          <w:p w14:paraId="6818BF96" w14:textId="2A430D36" w:rsidR="00797DF4" w:rsidRDefault="00797DF4" w:rsidP="00583828">
            <w:pPr>
              <w:jc w:val="center"/>
            </w:pPr>
            <w:r w:rsidRPr="00583828">
              <w:rPr>
                <w:color w:val="FF0000"/>
              </w:rPr>
              <w:t>x</w:t>
            </w:r>
          </w:p>
        </w:tc>
        <w:tc>
          <w:tcPr>
            <w:tcW w:w="898" w:type="dxa"/>
          </w:tcPr>
          <w:p w14:paraId="187AC977" w14:textId="77777777" w:rsidR="00797DF4" w:rsidRDefault="00797DF4" w:rsidP="00583828">
            <w:pPr>
              <w:jc w:val="center"/>
            </w:pPr>
          </w:p>
        </w:tc>
        <w:tc>
          <w:tcPr>
            <w:tcW w:w="899" w:type="dxa"/>
          </w:tcPr>
          <w:p w14:paraId="398FAA41" w14:textId="77777777" w:rsidR="00797DF4" w:rsidRDefault="00797DF4" w:rsidP="00583828">
            <w:pPr>
              <w:jc w:val="center"/>
            </w:pPr>
          </w:p>
        </w:tc>
        <w:tc>
          <w:tcPr>
            <w:tcW w:w="898" w:type="dxa"/>
          </w:tcPr>
          <w:p w14:paraId="57835927" w14:textId="77777777" w:rsidR="00797DF4" w:rsidRDefault="00797DF4" w:rsidP="00583828">
            <w:pPr>
              <w:jc w:val="center"/>
            </w:pPr>
          </w:p>
        </w:tc>
        <w:tc>
          <w:tcPr>
            <w:tcW w:w="899" w:type="dxa"/>
          </w:tcPr>
          <w:p w14:paraId="65000954" w14:textId="77777777" w:rsidR="00797DF4" w:rsidRDefault="00797DF4" w:rsidP="00583828">
            <w:pPr>
              <w:jc w:val="center"/>
            </w:pPr>
          </w:p>
        </w:tc>
      </w:tr>
      <w:tr w:rsidR="00797DF4" w14:paraId="01708AFF" w14:textId="77777777" w:rsidTr="00797DF4">
        <w:trPr>
          <w:trHeight w:val="288"/>
        </w:trPr>
        <w:tc>
          <w:tcPr>
            <w:tcW w:w="2966" w:type="dxa"/>
          </w:tcPr>
          <w:p w14:paraId="78118373" w14:textId="60A0718A" w:rsidR="00797DF4" w:rsidRDefault="00797DF4" w:rsidP="00583828">
            <w:pPr>
              <w:jc w:val="center"/>
            </w:pPr>
            <w:r>
              <w:t>Ser33-IP in SC (rep 2)</w:t>
            </w:r>
          </w:p>
        </w:tc>
        <w:tc>
          <w:tcPr>
            <w:tcW w:w="899" w:type="dxa"/>
          </w:tcPr>
          <w:p w14:paraId="52ECC38B" w14:textId="7B73793D" w:rsidR="00797DF4" w:rsidRDefault="00797DF4" w:rsidP="00583828">
            <w:pPr>
              <w:jc w:val="center"/>
            </w:pPr>
            <w:r w:rsidRPr="00797DF4">
              <w:rPr>
                <w:color w:val="00B050"/>
              </w:rPr>
              <w:t>x</w:t>
            </w:r>
          </w:p>
        </w:tc>
        <w:tc>
          <w:tcPr>
            <w:tcW w:w="899" w:type="dxa"/>
          </w:tcPr>
          <w:p w14:paraId="60169392" w14:textId="6F9872C0" w:rsidR="00797DF4" w:rsidRDefault="00797DF4" w:rsidP="00583828">
            <w:pPr>
              <w:jc w:val="center"/>
            </w:pPr>
            <w:r>
              <w:t>x</w:t>
            </w:r>
          </w:p>
        </w:tc>
        <w:tc>
          <w:tcPr>
            <w:tcW w:w="899" w:type="dxa"/>
          </w:tcPr>
          <w:p w14:paraId="5D282D57" w14:textId="4677149A" w:rsidR="00797DF4" w:rsidRDefault="00797DF4" w:rsidP="00583828">
            <w:pPr>
              <w:jc w:val="center"/>
            </w:pPr>
            <w:r>
              <w:t>x</w:t>
            </w:r>
          </w:p>
        </w:tc>
        <w:tc>
          <w:tcPr>
            <w:tcW w:w="898" w:type="dxa"/>
          </w:tcPr>
          <w:p w14:paraId="6960529F" w14:textId="615E4484" w:rsidR="00797DF4" w:rsidRDefault="00797DF4" w:rsidP="00583828">
            <w:pPr>
              <w:jc w:val="center"/>
            </w:pPr>
            <w:r>
              <w:t>x</w:t>
            </w:r>
          </w:p>
        </w:tc>
        <w:tc>
          <w:tcPr>
            <w:tcW w:w="899" w:type="dxa"/>
          </w:tcPr>
          <w:p w14:paraId="2F4E8CCF" w14:textId="78775D5B" w:rsidR="00797DF4" w:rsidRDefault="00797DF4" w:rsidP="00583828">
            <w:pPr>
              <w:jc w:val="center"/>
            </w:pPr>
            <w:r>
              <w:t>x</w:t>
            </w:r>
          </w:p>
        </w:tc>
        <w:tc>
          <w:tcPr>
            <w:tcW w:w="898" w:type="dxa"/>
          </w:tcPr>
          <w:p w14:paraId="737C9C04" w14:textId="1645715C" w:rsidR="00797DF4" w:rsidRDefault="00797DF4" w:rsidP="00583828">
            <w:pPr>
              <w:jc w:val="center"/>
            </w:pPr>
            <w:r>
              <w:t>x</w:t>
            </w:r>
          </w:p>
        </w:tc>
        <w:tc>
          <w:tcPr>
            <w:tcW w:w="899" w:type="dxa"/>
          </w:tcPr>
          <w:p w14:paraId="0E7A35D9" w14:textId="011A8F4C" w:rsidR="00797DF4" w:rsidRDefault="00797DF4" w:rsidP="00583828">
            <w:pPr>
              <w:jc w:val="center"/>
            </w:pPr>
            <w:r w:rsidRPr="00797DF4">
              <w:rPr>
                <w:color w:val="00B050"/>
              </w:rPr>
              <w:t>x</w:t>
            </w:r>
          </w:p>
        </w:tc>
      </w:tr>
      <w:tr w:rsidR="00797DF4" w14:paraId="10BCD015" w14:textId="77777777" w:rsidTr="00797DF4">
        <w:trPr>
          <w:trHeight w:val="288"/>
        </w:trPr>
        <w:tc>
          <w:tcPr>
            <w:tcW w:w="2966" w:type="dxa"/>
          </w:tcPr>
          <w:p w14:paraId="5590FED9" w14:textId="6E527FE9" w:rsidR="00797DF4" w:rsidRDefault="00797DF4" w:rsidP="00583828">
            <w:pPr>
              <w:jc w:val="center"/>
            </w:pPr>
            <w:r>
              <w:t>Ser33-IP in rap (rep 2)</w:t>
            </w:r>
          </w:p>
        </w:tc>
        <w:tc>
          <w:tcPr>
            <w:tcW w:w="899" w:type="dxa"/>
          </w:tcPr>
          <w:p w14:paraId="368DBD1A" w14:textId="2FFB7C47" w:rsidR="00797DF4" w:rsidRDefault="00797DF4" w:rsidP="00583828">
            <w:pPr>
              <w:jc w:val="center"/>
            </w:pPr>
            <w:r>
              <w:t>x</w:t>
            </w:r>
          </w:p>
        </w:tc>
        <w:tc>
          <w:tcPr>
            <w:tcW w:w="899" w:type="dxa"/>
          </w:tcPr>
          <w:p w14:paraId="769C4D75" w14:textId="2FE16897" w:rsidR="00797DF4" w:rsidRDefault="00797DF4" w:rsidP="00583828">
            <w:pPr>
              <w:jc w:val="center"/>
            </w:pPr>
            <w:r>
              <w:t>x</w:t>
            </w:r>
          </w:p>
        </w:tc>
        <w:tc>
          <w:tcPr>
            <w:tcW w:w="899" w:type="dxa"/>
          </w:tcPr>
          <w:p w14:paraId="6554787D" w14:textId="77777777" w:rsidR="00797DF4" w:rsidRDefault="00797DF4" w:rsidP="00583828">
            <w:pPr>
              <w:jc w:val="center"/>
            </w:pPr>
          </w:p>
        </w:tc>
        <w:tc>
          <w:tcPr>
            <w:tcW w:w="898" w:type="dxa"/>
          </w:tcPr>
          <w:p w14:paraId="749F3E54" w14:textId="77777777" w:rsidR="00797DF4" w:rsidRDefault="00797DF4" w:rsidP="00583828">
            <w:pPr>
              <w:jc w:val="center"/>
            </w:pPr>
          </w:p>
        </w:tc>
        <w:tc>
          <w:tcPr>
            <w:tcW w:w="899" w:type="dxa"/>
          </w:tcPr>
          <w:p w14:paraId="1C272470" w14:textId="77777777" w:rsidR="00797DF4" w:rsidRDefault="00797DF4" w:rsidP="00583828">
            <w:pPr>
              <w:jc w:val="center"/>
            </w:pPr>
          </w:p>
        </w:tc>
        <w:tc>
          <w:tcPr>
            <w:tcW w:w="898" w:type="dxa"/>
          </w:tcPr>
          <w:p w14:paraId="24ADA332" w14:textId="75763727" w:rsidR="00797DF4" w:rsidRDefault="00797DF4" w:rsidP="00583828">
            <w:pPr>
              <w:jc w:val="center"/>
            </w:pPr>
            <w:r>
              <w:t>x</w:t>
            </w:r>
          </w:p>
        </w:tc>
        <w:tc>
          <w:tcPr>
            <w:tcW w:w="899" w:type="dxa"/>
          </w:tcPr>
          <w:p w14:paraId="345A8C15" w14:textId="532ECC40" w:rsidR="00797DF4" w:rsidRDefault="00797DF4" w:rsidP="00583828">
            <w:pPr>
              <w:jc w:val="center"/>
            </w:pPr>
            <w:r>
              <w:t>x</w:t>
            </w:r>
          </w:p>
        </w:tc>
      </w:tr>
      <w:tr w:rsidR="00797DF4" w14:paraId="3482D308" w14:textId="77777777" w:rsidTr="00797DF4">
        <w:trPr>
          <w:trHeight w:val="288"/>
        </w:trPr>
        <w:tc>
          <w:tcPr>
            <w:tcW w:w="2966" w:type="dxa"/>
          </w:tcPr>
          <w:p w14:paraId="30A1FF6C" w14:textId="3BF02F84" w:rsidR="00797DF4" w:rsidRDefault="00797DF4" w:rsidP="00583828">
            <w:pPr>
              <w:jc w:val="center"/>
            </w:pPr>
            <w:r>
              <w:t>Difference (rep 2)</w:t>
            </w:r>
          </w:p>
        </w:tc>
        <w:tc>
          <w:tcPr>
            <w:tcW w:w="899" w:type="dxa"/>
          </w:tcPr>
          <w:p w14:paraId="51D08FC0" w14:textId="4F38E291" w:rsidR="00797DF4" w:rsidRDefault="00797DF4" w:rsidP="00583828">
            <w:pPr>
              <w:jc w:val="center"/>
            </w:pPr>
            <w:r w:rsidRPr="00797DF4">
              <w:rPr>
                <w:color w:val="FFC000"/>
              </w:rPr>
              <w:t>x</w:t>
            </w:r>
          </w:p>
        </w:tc>
        <w:tc>
          <w:tcPr>
            <w:tcW w:w="899" w:type="dxa"/>
          </w:tcPr>
          <w:p w14:paraId="49279776" w14:textId="77777777" w:rsidR="00797DF4" w:rsidRDefault="00797DF4" w:rsidP="00583828">
            <w:pPr>
              <w:jc w:val="center"/>
            </w:pPr>
          </w:p>
        </w:tc>
        <w:tc>
          <w:tcPr>
            <w:tcW w:w="899" w:type="dxa"/>
          </w:tcPr>
          <w:p w14:paraId="0EEA5420" w14:textId="7D34D130" w:rsidR="00797DF4" w:rsidRDefault="00797DF4" w:rsidP="00583828">
            <w:pPr>
              <w:jc w:val="center"/>
            </w:pPr>
            <w:r w:rsidRPr="00583828">
              <w:rPr>
                <w:color w:val="FF0000"/>
              </w:rPr>
              <w:t>x</w:t>
            </w:r>
          </w:p>
        </w:tc>
        <w:tc>
          <w:tcPr>
            <w:tcW w:w="898" w:type="dxa"/>
          </w:tcPr>
          <w:p w14:paraId="4EAA0353" w14:textId="6E4A2C33" w:rsidR="00797DF4" w:rsidRDefault="00797DF4" w:rsidP="00583828">
            <w:pPr>
              <w:jc w:val="center"/>
            </w:pPr>
            <w:r w:rsidRPr="00583828">
              <w:rPr>
                <w:color w:val="FF0000"/>
              </w:rPr>
              <w:t>x</w:t>
            </w:r>
          </w:p>
        </w:tc>
        <w:tc>
          <w:tcPr>
            <w:tcW w:w="899" w:type="dxa"/>
          </w:tcPr>
          <w:p w14:paraId="6B4E6DBA" w14:textId="2E8E93D8" w:rsidR="00797DF4" w:rsidRDefault="00797DF4" w:rsidP="00583828">
            <w:pPr>
              <w:jc w:val="center"/>
            </w:pPr>
            <w:r w:rsidRPr="00583828">
              <w:rPr>
                <w:color w:val="FF0000"/>
              </w:rPr>
              <w:t>x</w:t>
            </w:r>
          </w:p>
        </w:tc>
        <w:tc>
          <w:tcPr>
            <w:tcW w:w="898" w:type="dxa"/>
          </w:tcPr>
          <w:p w14:paraId="3AD46BF6" w14:textId="77777777" w:rsidR="00797DF4" w:rsidRDefault="00797DF4" w:rsidP="00583828">
            <w:pPr>
              <w:jc w:val="center"/>
            </w:pPr>
          </w:p>
        </w:tc>
        <w:tc>
          <w:tcPr>
            <w:tcW w:w="899" w:type="dxa"/>
          </w:tcPr>
          <w:p w14:paraId="023E8BB8" w14:textId="5458B302" w:rsidR="00797DF4" w:rsidRDefault="00797DF4" w:rsidP="00583828">
            <w:pPr>
              <w:jc w:val="center"/>
            </w:pPr>
            <w:r w:rsidRPr="00797DF4">
              <w:rPr>
                <w:color w:val="FFC000"/>
              </w:rPr>
              <w:t>x</w:t>
            </w:r>
          </w:p>
        </w:tc>
      </w:tr>
    </w:tbl>
    <w:p w14:paraId="346CEBBE" w14:textId="77777777" w:rsidR="00D54672" w:rsidRDefault="00D54672"/>
    <w:p w14:paraId="5175F996" w14:textId="055FBC47" w:rsidR="00583828" w:rsidRDefault="0024485E" w:rsidP="00583828">
      <w:pPr>
        <w:jc w:val="both"/>
      </w:pPr>
      <w:r>
        <w:rPr>
          <w:b/>
          <w:bCs/>
        </w:rPr>
        <w:t>Supplementary File 2</w:t>
      </w:r>
      <w:r w:rsidR="00583828" w:rsidRPr="00583828">
        <w:rPr>
          <w:b/>
          <w:bCs/>
        </w:rPr>
        <w:t xml:space="preserve">.  Rapamycin dependent phosphorylation sites </w:t>
      </w:r>
      <w:r w:rsidR="00AB4237">
        <w:rPr>
          <w:b/>
          <w:bCs/>
        </w:rPr>
        <w:t>in Ser33</w:t>
      </w:r>
      <w:r w:rsidR="00583828" w:rsidRPr="00583828">
        <w:rPr>
          <w:b/>
          <w:bCs/>
        </w:rPr>
        <w:t xml:space="preserve">.  </w:t>
      </w:r>
      <w:r w:rsidR="00583828">
        <w:t xml:space="preserve">The top </w:t>
      </w:r>
      <w:r w:rsidR="00797DF4">
        <w:t>three</w:t>
      </w:r>
      <w:r w:rsidR="00583828">
        <w:t xml:space="preserve"> rows show the position of the phosphorylation sites that decrease abundance after rapamycin treatment, </w:t>
      </w:r>
      <w:r w:rsidR="00FB176B">
        <w:t>as identified in Figure 4</w:t>
      </w:r>
      <w:r>
        <w:t xml:space="preserve"> (top row) </w:t>
      </w:r>
      <w:r w:rsidR="00583828">
        <w:t xml:space="preserve">and in the published work of Soulard </w:t>
      </w:r>
      <w:r w:rsidR="00797DF4">
        <w:t>(second row</w:t>
      </w:r>
      <w:r w:rsidR="0015612F">
        <w:fldChar w:fldCharType="begin"/>
      </w:r>
      <w:r w:rsidR="0015612F">
        <w:instrText xml:space="preserve"> ADDIN EN.CITE &lt;EndNote&gt;&lt;Cite&gt;&lt;Author&gt;Soulard&lt;/Author&gt;&lt;Year&gt;2010&lt;/Year&gt;&lt;RecNum&gt;54&lt;/RecNum&gt;&lt;DisplayText&gt;&lt;style face="superscript"&gt;1&lt;/style&gt;&lt;/DisplayText&gt;&lt;record&gt;&lt;rec-number&gt;54&lt;/rec-number&gt;&lt;foreign-keys&gt;&lt;key app="EN" db-id="2xf90ptactv2xvefarqx2vfwsv29pz0sx9sz" timestamp="1698628471"&gt;54&lt;/key&gt;&lt;/foreign-keys&gt;&lt;ref-type name="Journal Article"&gt;17&lt;/ref-type&gt;&lt;contributors&gt;&lt;authors&gt;&lt;author&gt;Soulard, Alexandre&lt;/author&gt;&lt;author&gt;Cremonesi, Alessio&lt;/author&gt;&lt;author&gt;Moes, Suzette&lt;/author&gt;&lt;author&gt;Schütz, Frédéric&lt;/author&gt;&lt;author&gt;Jenö, Paul&lt;/author&gt;&lt;author&gt;Hall, Michael N.&lt;/author&gt;&lt;/authors&gt;&lt;/contributors&gt;&lt;titles&gt;&lt;title&gt;The Rapamycin-sensitive Phosphoproteome Reveals That TOR Controls Protein Kinase A Toward Some But Not All Substrates&lt;/title&gt;&lt;secondary-title&gt;Molecular Biology of the Cell&lt;/secondary-title&gt;&lt;/titles&gt;&lt;pages&gt;3475-3486&lt;/pages&gt;&lt;volume&gt;21&lt;/volume&gt;&lt;number&gt;19&lt;/number&gt;&lt;dates&gt;&lt;year&gt;2010&lt;/year&gt;&lt;pub-dates&gt;&lt;date&gt;2010/10/01&lt;/date&gt;&lt;/pub-dates&gt;&lt;/dates&gt;&lt;publisher&gt;American Society for Cell Biology (mboc)&lt;/publisher&gt;&lt;isbn&gt;1059-1524&lt;/isbn&gt;&lt;urls&gt;&lt;related-urls&gt;&lt;url&gt;https://doi.org/10.1091/mbc.e10-03-0182&lt;/url&gt;&lt;/related-urls&gt;&lt;/urls&gt;&lt;electronic-resource-num&gt;10.1091/mbc.e10-03-0182&lt;/electronic-resource-num&gt;&lt;access-date&gt;2023/10/29&lt;/access-date&gt;&lt;/record&gt;&lt;/Cite&gt;&lt;/EndNote&gt;</w:instrText>
      </w:r>
      <w:r w:rsidR="0015612F">
        <w:fldChar w:fldCharType="separate"/>
      </w:r>
      <w:r w:rsidR="0015612F" w:rsidRPr="0015612F">
        <w:rPr>
          <w:noProof/>
          <w:vertAlign w:val="superscript"/>
        </w:rPr>
        <w:t>1</w:t>
      </w:r>
      <w:r w:rsidR="0015612F">
        <w:fldChar w:fldCharType="end"/>
      </w:r>
      <w:r w:rsidR="0015612F">
        <w:t xml:space="preserve">) </w:t>
      </w:r>
      <w:r w:rsidR="00797DF4">
        <w:t xml:space="preserve">and </w:t>
      </w:r>
      <w:proofErr w:type="spellStart"/>
      <w:r w:rsidR="00797DF4" w:rsidRPr="00797DF4">
        <w:t>Dokládal</w:t>
      </w:r>
      <w:proofErr w:type="spellEnd"/>
      <w:r w:rsidR="00797DF4" w:rsidRPr="00797DF4">
        <w:t xml:space="preserve"> </w:t>
      </w:r>
      <w:r w:rsidR="00797DF4">
        <w:t>(third row; found in at least 3/5 experiments</w:t>
      </w:r>
      <w:r w:rsidR="0015612F">
        <w:fldChar w:fldCharType="begin">
          <w:fldData xml:space="preserve">PEVuZE5vdGU+PENpdGU+PEF1dGhvcj5Eb2tsYWRhbDwvQXV0aG9yPjxZZWFyPjIwMjE8L1llYXI+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</w:fldData>
        </w:fldChar>
      </w:r>
      <w:r w:rsidR="0015612F">
        <w:instrText xml:space="preserve"> ADDIN EN.CITE </w:instrText>
      </w:r>
      <w:r w:rsidR="0015612F">
        <w:fldChar w:fldCharType="begin">
          <w:fldData xml:space="preserve">PEVuZE5vdGU+PENpdGU+PEF1dGhvcj5Eb2tsYWRhbDwvQXV0aG9yPjxZZWFyPjIwMjE8L1llYXI+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</w:fldData>
        </w:fldChar>
      </w:r>
      <w:r w:rsidR="0015612F">
        <w:instrText xml:space="preserve"> ADDIN EN.CITE.DATA </w:instrText>
      </w:r>
      <w:r w:rsidR="0015612F">
        <w:fldChar w:fldCharType="end"/>
      </w:r>
      <w:r w:rsidR="0015612F">
        <w:fldChar w:fldCharType="separate"/>
      </w:r>
      <w:r w:rsidR="0015612F" w:rsidRPr="0015612F">
        <w:rPr>
          <w:noProof/>
          <w:vertAlign w:val="superscript"/>
        </w:rPr>
        <w:t>2</w:t>
      </w:r>
      <w:r w:rsidR="0015612F">
        <w:fldChar w:fldCharType="end"/>
      </w:r>
      <w:r w:rsidR="00583828">
        <w:t xml:space="preserve">).  The </w:t>
      </w:r>
      <w:r w:rsidR="00797DF4">
        <w:t>fourth</w:t>
      </w:r>
      <w:r w:rsidR="00583828">
        <w:t xml:space="preserve"> and </w:t>
      </w:r>
      <w:r w:rsidR="00797DF4">
        <w:t>fifth</w:t>
      </w:r>
      <w:r w:rsidR="00583828">
        <w:t xml:space="preserve"> rows show the </w:t>
      </w:r>
      <w:proofErr w:type="spellStart"/>
      <w:r w:rsidR="00583828">
        <w:t>phosphosites</w:t>
      </w:r>
      <w:proofErr w:type="spellEnd"/>
      <w:r w:rsidR="00583828">
        <w:t xml:space="preserve"> identified </w:t>
      </w:r>
      <w:r w:rsidR="00FB176B">
        <w:t>via</w:t>
      </w:r>
      <w:r w:rsidR="00AB4237">
        <w:t xml:space="preserve"> mass-spectrometry based mapping of</w:t>
      </w:r>
      <w:r w:rsidR="00583828">
        <w:t xml:space="preserve"> Ser33 immunopurified from cells growing in log growth phase in SC medium and one hour after treatment with 200 ng/ml rapamycin (samples were prepared together and examined in back-to-back mass spec runs). The </w:t>
      </w:r>
      <w:r w:rsidR="00797DF4">
        <w:t>sixth</w:t>
      </w:r>
      <w:r w:rsidR="00583828">
        <w:t xml:space="preserve"> row shows the sites that decrease in abundance comparing the log growth and rapamycin samples.  </w:t>
      </w:r>
      <w:r w:rsidR="00797DF4">
        <w:t>Rows</w:t>
      </w:r>
      <w:r w:rsidR="00583828">
        <w:t xml:space="preserve"> </w:t>
      </w:r>
      <w:r w:rsidR="00797DF4">
        <w:t>7</w:t>
      </w:r>
      <w:r w:rsidR="00583828">
        <w:t>-</w:t>
      </w:r>
      <w:r w:rsidR="003A0820">
        <w:t>9</w:t>
      </w:r>
      <w:r w:rsidR="00797DF4">
        <w:rPr>
          <w:vertAlign w:val="superscript"/>
        </w:rPr>
        <w:t xml:space="preserve"> </w:t>
      </w:r>
      <w:r w:rsidR="00797DF4">
        <w:t>show data for a biological replicate of rows 4-6.</w:t>
      </w:r>
      <w:r w:rsidR="00583828">
        <w:t xml:space="preserve"> </w:t>
      </w:r>
      <w:r w:rsidR="00797DF4">
        <w:t xml:space="preserve"> In second IP a peptide was identified that is phosphorylated at sites 20 and 33 in SC medium (green </w:t>
      </w:r>
      <w:proofErr w:type="spellStart"/>
      <w:r w:rsidR="00797DF4">
        <w:t>Xs</w:t>
      </w:r>
      <w:proofErr w:type="spellEnd"/>
      <w:r w:rsidR="00797DF4">
        <w:t xml:space="preserve">), but not rapamycin, indicating that the abundance of one, or both, of these sites decreases (orange </w:t>
      </w:r>
      <w:proofErr w:type="spellStart"/>
      <w:r w:rsidR="00797DF4">
        <w:t>Xs</w:t>
      </w:r>
      <w:proofErr w:type="spellEnd"/>
      <w:r w:rsidR="00797DF4">
        <w:t xml:space="preserve">).  </w:t>
      </w:r>
      <w:proofErr w:type="spellStart"/>
      <w:r w:rsidR="00797DF4" w:rsidRPr="00797DF4">
        <w:t>Dokládal</w:t>
      </w:r>
      <w:proofErr w:type="spellEnd"/>
      <w:r w:rsidR="00797DF4">
        <w:t xml:space="preserve"> also found a rapamycin dependent site at Ser 2 that we did not pick up and was not mutated </w:t>
      </w:r>
      <w:r w:rsidR="003F393A">
        <w:t>in our study</w:t>
      </w:r>
      <w:r w:rsidR="00797DF4">
        <w:t>.</w:t>
      </w:r>
      <w:r w:rsidR="003A0820">
        <w:t xml:space="preserve">  The raw data for rows 4-9 is in </w:t>
      </w:r>
      <w:r>
        <w:t>Supplementary Files 4-7</w:t>
      </w:r>
      <w:r w:rsidR="003A0820">
        <w:t>.</w:t>
      </w:r>
    </w:p>
    <w:p w14:paraId="4F5F4A27" w14:textId="77777777" w:rsidR="0015612F" w:rsidRDefault="0015612F" w:rsidP="00583828">
      <w:pPr>
        <w:jc w:val="both"/>
      </w:pPr>
    </w:p>
    <w:p w14:paraId="1C06DC40" w14:textId="77777777" w:rsidR="0015612F" w:rsidRDefault="0015612F" w:rsidP="00583828">
      <w:pPr>
        <w:jc w:val="both"/>
      </w:pPr>
    </w:p>
    <w:p w14:paraId="377A2159" w14:textId="77777777" w:rsidR="0015612F" w:rsidRPr="0015612F" w:rsidRDefault="0015612F" w:rsidP="0015612F">
      <w:pPr>
        <w:pStyle w:val="EndNoteBibliography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15612F">
        <w:rPr>
          <w:noProof/>
        </w:rPr>
        <w:t>1.</w:t>
      </w:r>
      <w:r w:rsidRPr="0015612F">
        <w:rPr>
          <w:noProof/>
        </w:rPr>
        <w:tab/>
        <w:t xml:space="preserve">Soulard, A., Cremonesi, A., Moes, S., Schütz, F., Jenö, P., and Hall, M.N. (2010). The Rapamycin-sensitive Phosphoproteome Reveals That TOR Controls Protein Kinase A Toward Some But Not All Substrates. Molecular Biology of the Cell </w:t>
      </w:r>
      <w:r w:rsidRPr="0015612F">
        <w:rPr>
          <w:i/>
          <w:noProof/>
        </w:rPr>
        <w:t>21</w:t>
      </w:r>
      <w:r w:rsidRPr="0015612F">
        <w:rPr>
          <w:noProof/>
        </w:rPr>
        <w:t>, 3475-3486. 10.1091/mbc.e10-03-0182.</w:t>
      </w:r>
    </w:p>
    <w:p w14:paraId="036EDC52" w14:textId="77777777" w:rsidR="0015612F" w:rsidRPr="0015612F" w:rsidRDefault="0015612F" w:rsidP="0015612F">
      <w:pPr>
        <w:pStyle w:val="EndNoteBibliography"/>
        <w:ind w:left="720" w:hanging="720"/>
        <w:rPr>
          <w:noProof/>
        </w:rPr>
      </w:pPr>
      <w:r w:rsidRPr="0015612F">
        <w:rPr>
          <w:noProof/>
        </w:rPr>
        <w:t>2.</w:t>
      </w:r>
      <w:r w:rsidRPr="0015612F">
        <w:rPr>
          <w:noProof/>
        </w:rPr>
        <w:tab/>
        <w:t xml:space="preserve">Dokladal, L., Stumpe, M., Hu, Z., Jaquenoud, M., Dengjel, J., and De Virgilio, C. (2021). Phosphoproteomic responses of TORC1 target kinases reveal discrete and convergent mechanisms that orchestrate the quiescence program in yeast. Cell Rep </w:t>
      </w:r>
      <w:r w:rsidRPr="0015612F">
        <w:rPr>
          <w:i/>
          <w:noProof/>
        </w:rPr>
        <w:t>37</w:t>
      </w:r>
      <w:r w:rsidRPr="0015612F">
        <w:rPr>
          <w:noProof/>
        </w:rPr>
        <w:t>, 110149. 10.1016/j.celrep.2021.110149.</w:t>
      </w:r>
    </w:p>
    <w:p w14:paraId="3427A733" w14:textId="306A91F9" w:rsidR="00583828" w:rsidRPr="00583828" w:rsidRDefault="0015612F" w:rsidP="00583828">
      <w:pPr>
        <w:jc w:val="both"/>
      </w:pPr>
      <w:r>
        <w:fldChar w:fldCharType="end"/>
      </w:r>
    </w:p>
    <w:sectPr w:rsidR="00583828" w:rsidRPr="00583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ell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xf90ptactv2xvefarqx2vfwsv29pz0sx9sz&quot;&gt;My EndNote Library&lt;record-ids&gt;&lt;item&gt;54&lt;/item&gt;&lt;item&gt;62&lt;/item&gt;&lt;/record-ids&gt;&lt;/item&gt;&lt;/Libraries&gt;"/>
  </w:docVars>
  <w:rsids>
    <w:rsidRoot w:val="00583828"/>
    <w:rsid w:val="000231F9"/>
    <w:rsid w:val="000D2003"/>
    <w:rsid w:val="000F6CF2"/>
    <w:rsid w:val="0011703A"/>
    <w:rsid w:val="001203A5"/>
    <w:rsid w:val="0015612F"/>
    <w:rsid w:val="001A7D49"/>
    <w:rsid w:val="0024485E"/>
    <w:rsid w:val="003A0820"/>
    <w:rsid w:val="003F393A"/>
    <w:rsid w:val="0057140E"/>
    <w:rsid w:val="00583828"/>
    <w:rsid w:val="00586E60"/>
    <w:rsid w:val="00641334"/>
    <w:rsid w:val="0069332B"/>
    <w:rsid w:val="00786F4E"/>
    <w:rsid w:val="00797DF4"/>
    <w:rsid w:val="007F0B8C"/>
    <w:rsid w:val="0080609C"/>
    <w:rsid w:val="008206E4"/>
    <w:rsid w:val="00926FDA"/>
    <w:rsid w:val="00976AB9"/>
    <w:rsid w:val="00976F1D"/>
    <w:rsid w:val="00985DE5"/>
    <w:rsid w:val="009F4078"/>
    <w:rsid w:val="009F637E"/>
    <w:rsid w:val="00A621B2"/>
    <w:rsid w:val="00A767A0"/>
    <w:rsid w:val="00AB4237"/>
    <w:rsid w:val="00AE5081"/>
    <w:rsid w:val="00AF5814"/>
    <w:rsid w:val="00B4032E"/>
    <w:rsid w:val="00C15CBF"/>
    <w:rsid w:val="00CB12EF"/>
    <w:rsid w:val="00CB2467"/>
    <w:rsid w:val="00D27C56"/>
    <w:rsid w:val="00D54672"/>
    <w:rsid w:val="00D564EA"/>
    <w:rsid w:val="00DA6729"/>
    <w:rsid w:val="00DC5398"/>
    <w:rsid w:val="00E77F71"/>
    <w:rsid w:val="00E83C0E"/>
    <w:rsid w:val="00EB1858"/>
    <w:rsid w:val="00EC5482"/>
    <w:rsid w:val="00F20FB6"/>
    <w:rsid w:val="00F27A39"/>
    <w:rsid w:val="00F767BF"/>
    <w:rsid w:val="00F77A5F"/>
    <w:rsid w:val="00F81EF9"/>
    <w:rsid w:val="00FB176B"/>
    <w:rsid w:val="00FB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E5C00"/>
  <w15:chartTrackingRefBased/>
  <w15:docId w15:val="{ED36BBE6-507D-9E42-A042-C62F8C2A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7D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DF4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15612F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5612F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15612F"/>
    <w:pPr>
      <w:jc w:val="both"/>
    </w:pPr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15612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Capaldi, Andrew P - (capaldi)</dc:creator>
  <cp:keywords/>
  <dc:description/>
  <cp:lastModifiedBy>Capaldi, Andrew P - (capaldi)</cp:lastModifiedBy>
  <cp:revision>9</cp:revision>
  <dcterms:created xsi:type="dcterms:W3CDTF">2023-10-30T17:33:00Z</dcterms:created>
  <dcterms:modified xsi:type="dcterms:W3CDTF">2025-06-17T19:19:00Z</dcterms:modified>
</cp:coreProperties>
</file>