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4DBEE342" w:rsidR="00F102CC" w:rsidRPr="003D5AF6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6A1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availability &amp; Correspondence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9BFE56" w14:textId="77777777" w:rsidR="00F102CC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31209F92" w14:textId="61FF9CC9" w:rsidR="002D6A15" w:rsidRPr="003D5AF6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table; sub-section-Antibodies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DC3A" w14:textId="77777777" w:rsidR="00F102CC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For primer/oligo sequences:</w:t>
            </w:r>
          </w:p>
          <w:p w14:paraId="0B13A096" w14:textId="77777777" w:rsidR="002D6A15" w:rsidRDefault="002D6A15" w:rsidP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162D0FD8" w14:textId="4AB5CC1A" w:rsidR="002D6A15" w:rsidRDefault="002D6A15" w:rsidP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Sun-sections-</w:t>
            </w:r>
            <w:r>
              <w:t xml:space="preserve"> </w:t>
            </w:r>
            <w:r w:rsidRPr="002D6A1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mRNA expression primers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</w:t>
            </w:r>
            <w:r>
              <w:t xml:space="preserve"> </w:t>
            </w:r>
            <w:proofErr w:type="spellStart"/>
            <w:r w:rsidRPr="002D6A15">
              <w:t>ChIP</w:t>
            </w:r>
            <w:proofErr w:type="spellEnd"/>
            <w:r w:rsidRPr="002D6A15">
              <w:t xml:space="preserve">- </w:t>
            </w:r>
            <w:proofErr w:type="spellStart"/>
            <w:r w:rsidRPr="002D6A15">
              <w:t>qRT</w:t>
            </w:r>
            <w:proofErr w:type="spellEnd"/>
            <w:r w:rsidRPr="002D6A15">
              <w:t xml:space="preserve"> PCR </w:t>
            </w:r>
            <w:proofErr w:type="gramStart"/>
            <w:r w:rsidRPr="002D6A15">
              <w:t>primers</w:t>
            </w:r>
            <w:r>
              <w:t>,</w:t>
            </w:r>
            <w:r w:rsidRPr="002D6A1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IL</w:t>
            </w:r>
            <w:proofErr w:type="gramEnd"/>
            <w:r w:rsidRPr="002D6A1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1R1 promoter G4 mutant HEK cells</w:t>
            </w:r>
          </w:p>
          <w:p w14:paraId="3CF6CE5F" w14:textId="77777777" w:rsidR="002D6A15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  <w:p w14:paraId="50D762AE" w14:textId="77777777" w:rsidR="002D6A15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Plasmids:</w:t>
            </w:r>
          </w:p>
          <w:p w14:paraId="7B245A16" w14:textId="77777777" w:rsidR="002D6A15" w:rsidRDefault="002D6A15" w:rsidP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38464726" w14:textId="45B55C42" w:rsidR="002D6A15" w:rsidRDefault="002D6A15" w:rsidP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table; sub-section-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plasmid vectors</w:t>
            </w:r>
          </w:p>
          <w:p w14:paraId="2A342553" w14:textId="77777777" w:rsidR="003102A9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  <w:p w14:paraId="220B6931" w14:textId="5449331F" w:rsidR="003102A9" w:rsidRPr="003D5AF6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raw data for the RNA sequencing (HT1080-HT1080-LT cells) has been made public (GEO accession code GSE267781).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2D43" w14:textId="77777777" w:rsidR="003102A9" w:rsidRDefault="003102A9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142EF030" w14:textId="4B0D60F9" w:rsidR="00F102CC" w:rsidRPr="003D5AF6" w:rsidRDefault="003102A9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table; sub-section-</w:t>
            </w:r>
            <w:r>
              <w:t xml:space="preserve"> </w:t>
            </w:r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Cell lines, media and culture conditions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EAB6" w14:textId="77777777" w:rsidR="003102A9" w:rsidRDefault="003102A9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6D488BB5" w14:textId="508A4315" w:rsidR="00F102CC" w:rsidRPr="003D5AF6" w:rsidRDefault="003102A9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table; sub-section-</w:t>
            </w:r>
            <w:r>
              <w:t xml:space="preserve"> </w:t>
            </w:r>
            <w:r w:rsidRPr="003102A9">
              <w:t>Organoid generation and culture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1CA95D5E" w:rsidR="00F102CC" w:rsidRPr="003D5AF6" w:rsidRDefault="003102A9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sub-section-</w:t>
            </w:r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Xenograft </w:t>
            </w:r>
            <w:proofErr w:type="spellStart"/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tumour</w:t>
            </w:r>
            <w:proofErr w:type="spellEnd"/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generation in NOD-SCID mice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5DBFFA1F" w:rsidR="00F102CC" w:rsidRPr="003D5AF6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6693241D" w:rsidR="00F102CC" w:rsidRPr="003D5AF6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0A90211D" w:rsidR="00F102CC" w:rsidRPr="003D5AF6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6A942A7E" w:rsidR="00F102CC" w:rsidRPr="003D5AF6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Demographic data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of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human subjects have not been used for this study. Relevant clearances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and  relevant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details have been provided in the manuscript under the section -</w:t>
            </w:r>
            <w:r>
              <w:t xml:space="preserve"> </w:t>
            </w:r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Ethics statement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712F4258" w:rsidR="00F102CC" w:rsidRPr="003102A9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  <w:gridCol w:w="990"/>
      </w:tblGrid>
      <w:tr w:rsidR="00F102CC" w14:paraId="449C5579" w14:textId="77777777" w:rsidTr="003E793F">
        <w:trPr>
          <w:gridAfter w:val="1"/>
          <w:wAfter w:w="990" w:type="dxa"/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E793F">
        <w:trPr>
          <w:gridAfter w:val="1"/>
          <w:wAfter w:w="990" w:type="dxa"/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3A8FC36" w:rsidR="00F102CC" w:rsidRPr="003D5AF6" w:rsidRDefault="003E793F" w:rsidP="003E793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section and Respective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7409C122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DD29B4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C05E" w14:textId="77777777" w:rsidR="00F102CC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101B676A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6FCDEC59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40A020AC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081DEEA2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7CAF5125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735F760D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3E4ECBDE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7199D21C" w14:textId="77777777" w:rsidR="003E793F" w:rsidRPr="003D5AF6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E793F">
        <w:trPr>
          <w:gridAfter w:val="1"/>
          <w:wAfter w:w="990" w:type="dxa"/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0C77" w14:textId="77777777" w:rsidR="003E793F" w:rsidRDefault="003E793F" w:rsidP="003E793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 w:rsidTr="003E793F">
        <w:trPr>
          <w:gridAfter w:val="1"/>
          <w:wAfter w:w="990" w:type="dxa"/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 w:rsidTr="003E793F">
        <w:trPr>
          <w:gridAfter w:val="1"/>
          <w:wAfter w:w="990" w:type="dxa"/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E793F">
        <w:trPr>
          <w:gridAfter w:val="1"/>
          <w:wAfter w:w="990" w:type="dxa"/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11ADD6CA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 sub-section-</w:t>
            </w:r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Xenograft </w:t>
            </w:r>
            <w:proofErr w:type="spellStart"/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tumour</w:t>
            </w:r>
            <w:proofErr w:type="spellEnd"/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generation in NOD-SCID mice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E793F" w14:paraId="640B934F" w14:textId="71207B3B" w:rsidTr="003E793F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8FB07DB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  <w:tc>
          <w:tcPr>
            <w:tcW w:w="990" w:type="dxa"/>
          </w:tcPr>
          <w:p w14:paraId="06248A50" w14:textId="3C078EB8" w:rsidR="003E793F" w:rsidRDefault="003E793F" w:rsidP="003E793F"/>
        </w:tc>
      </w:tr>
      <w:tr w:rsidR="003E793F" w14:paraId="6EEAB134" w14:textId="77777777" w:rsidTr="003E793F">
        <w:trPr>
          <w:gridAfter w:val="1"/>
          <w:wAfter w:w="990" w:type="dxa"/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26DFF926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3E793F" w14:paraId="0AB73282" w14:textId="77777777" w:rsidTr="003E793F">
        <w:trPr>
          <w:gridAfter w:val="1"/>
          <w:wAfter w:w="990" w:type="dxa"/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3E3E8C9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3E793F" w14:paraId="14D7061B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3E793F" w:rsidRPr="003D5AF6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3E793F" w:rsidRDefault="003E793F" w:rsidP="003E793F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3E793F" w:rsidRDefault="003E793F" w:rsidP="003E793F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E793F" w14:paraId="6A159F8E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3E793F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3E793F" w14:paraId="6D87191A" w14:textId="77777777" w:rsidTr="003E793F">
        <w:trPr>
          <w:gridAfter w:val="1"/>
          <w:wAfter w:w="990" w:type="dxa"/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6AFB9F02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Respective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E793F" w14:paraId="3646923A" w14:textId="77777777" w:rsidTr="003E793F">
        <w:trPr>
          <w:gridAfter w:val="1"/>
          <w:wAfter w:w="990" w:type="dxa"/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20FF50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Respective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E793F" w14:paraId="7376923B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3E793F" w:rsidRPr="003D5AF6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3E793F" w:rsidRDefault="003E793F" w:rsidP="003E793F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3E793F" w:rsidRDefault="003E793F" w:rsidP="003E793F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E793F" w14:paraId="27C0F91B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3E793F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3E793F" w14:paraId="74D0DBB2" w14:textId="77777777" w:rsidTr="003E793F">
        <w:trPr>
          <w:gridAfter w:val="1"/>
          <w:wAfter w:w="990" w:type="dxa"/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26150275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Ethics statement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6223028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E793F" w14:paraId="76515406" w14:textId="77777777" w:rsidTr="003E793F">
        <w:trPr>
          <w:gridAfter w:val="1"/>
          <w:wAfter w:w="990" w:type="dxa"/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0F0C0C89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Ethics statement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E793F" w14:paraId="5D62888E" w14:textId="77777777" w:rsidTr="003E793F">
        <w:trPr>
          <w:gridAfter w:val="1"/>
          <w:wAfter w:w="990" w:type="dxa"/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E793F" w14:paraId="79A7C842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3E793F" w:rsidRPr="003D5AF6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3E793F" w:rsidRDefault="003E793F" w:rsidP="003E793F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3E793F" w:rsidRDefault="003E793F" w:rsidP="003E793F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E793F" w14:paraId="43B5D416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3E793F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3E793F" w14:paraId="6CFA41C1" w14:textId="77777777" w:rsidTr="003E793F">
        <w:trPr>
          <w:gridAfter w:val="1"/>
          <w:wAfter w:w="990" w:type="dxa"/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10E27F0A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490D57AF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25C7" w14:textId="77777777" w:rsidR="00F102CC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 sub-section</w:t>
            </w:r>
            <w:r w:rsidRPr="003E793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Pr="003E793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Statistical Analysis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  <w:p w14:paraId="54E0127B" w14:textId="1CB564E4" w:rsidR="003E793F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Respective figure legends.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522CD804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Section- </w:t>
            </w:r>
            <w:r w:rsidRPr="003E793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53D29F0F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Section- </w:t>
            </w:r>
            <w:r w:rsidRPr="003E793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1F89CEE6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Supplementary File 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2FBE4BDA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2AC722D3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0801B1B2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7358C586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981CE" w14:textId="77777777" w:rsidR="00355177" w:rsidRDefault="00355177">
      <w:r>
        <w:separator/>
      </w:r>
    </w:p>
  </w:endnote>
  <w:endnote w:type="continuationSeparator" w:id="0">
    <w:p w14:paraId="631BCF0A" w14:textId="77777777" w:rsidR="00355177" w:rsidRDefault="0035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A4EA4" w14:textId="77777777" w:rsidR="00355177" w:rsidRDefault="00355177">
      <w:r>
        <w:separator/>
      </w:r>
    </w:p>
  </w:footnote>
  <w:footnote w:type="continuationSeparator" w:id="0">
    <w:p w14:paraId="4AAC8E33" w14:textId="77777777" w:rsidR="00355177" w:rsidRDefault="0035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B3BCC"/>
    <w:rsid w:val="002209A8"/>
    <w:rsid w:val="002D6A15"/>
    <w:rsid w:val="003102A9"/>
    <w:rsid w:val="00355177"/>
    <w:rsid w:val="003B4528"/>
    <w:rsid w:val="003D5AF6"/>
    <w:rsid w:val="003E793F"/>
    <w:rsid w:val="00400C53"/>
    <w:rsid w:val="00427975"/>
    <w:rsid w:val="004E2C31"/>
    <w:rsid w:val="005B0259"/>
    <w:rsid w:val="005F3BDC"/>
    <w:rsid w:val="007054B6"/>
    <w:rsid w:val="0078687E"/>
    <w:rsid w:val="009C7B26"/>
    <w:rsid w:val="00A11E52"/>
    <w:rsid w:val="00B2483D"/>
    <w:rsid w:val="00BD41E9"/>
    <w:rsid w:val="00C01662"/>
    <w:rsid w:val="00C84413"/>
    <w:rsid w:val="00D07C53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 K. Mukherjee</cp:lastModifiedBy>
  <cp:revision>2</cp:revision>
  <dcterms:created xsi:type="dcterms:W3CDTF">2024-11-03T10:33:00Z</dcterms:created>
  <dcterms:modified xsi:type="dcterms:W3CDTF">2024-11-03T10:33:00Z</dcterms:modified>
</cp:coreProperties>
</file>