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FF1" w:rsidRDefault="00207FF1" w:rsidP="00207F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bookmarkStart w:id="0" w:name="_GoBack"/>
      <w:r w:rsidRPr="00207FF1">
        <w:rPr>
          <w:rFonts w:ascii="Arial" w:eastAsia="Times New Roman" w:hAnsi="Arial" w:cs="Arial"/>
          <w:b/>
          <w:sz w:val="24"/>
          <w:szCs w:val="24"/>
          <w:lang w:val="en-US" w:eastAsia="en-GB"/>
        </w:rPr>
        <w:t>Supplementary File 1</w:t>
      </w:r>
      <w:bookmarkEnd w:id="0"/>
      <w:r w:rsidRPr="00FB61F5">
        <w:rPr>
          <w:rFonts w:ascii="Arial" w:eastAsia="Times New Roman" w:hAnsi="Arial" w:cs="Arial"/>
          <w:b/>
          <w:sz w:val="24"/>
          <w:szCs w:val="24"/>
          <w:lang w:val="en-US" w:eastAsia="en-GB"/>
        </w:rPr>
        <w:t xml:space="preserve"> </w:t>
      </w:r>
    </w:p>
    <w:p w:rsidR="00207FF1" w:rsidRPr="00FB61F5" w:rsidRDefault="00207FF1" w:rsidP="00207F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FB61F5">
        <w:rPr>
          <w:rFonts w:ascii="Arial" w:eastAsia="Times New Roman" w:hAnsi="Arial" w:cs="Arial"/>
          <w:b/>
          <w:sz w:val="24"/>
          <w:szCs w:val="24"/>
          <w:lang w:val="en-US" w:eastAsia="en-GB"/>
        </w:rPr>
        <w:t>Cryo-EM data collection, refinement and validation statistics</w:t>
      </w:r>
    </w:p>
    <w:p w:rsidR="00207FF1" w:rsidRPr="00FB61F5" w:rsidRDefault="00207FF1" w:rsidP="00207F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363"/>
      </w:tblGrid>
      <w:tr w:rsidR="00207FF1" w:rsidRPr="00FB61F5" w:rsidTr="00207FF1">
        <w:trPr>
          <w:tblHeader/>
        </w:trPr>
        <w:tc>
          <w:tcPr>
            <w:tcW w:w="9026" w:type="dxa"/>
            <w:gridSpan w:val="2"/>
            <w:tcBorders>
              <w:top w:val="single" w:sz="4" w:space="0" w:color="000000"/>
            </w:tcBorders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val="en-US" w:eastAsia="en-GB" w:bidi="hi-IN"/>
              </w:rPr>
              <w:t>Data collection and image processing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Instrument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 xml:space="preserve">FEI Titan </w:t>
            </w:r>
            <w:proofErr w:type="spellStart"/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Krios</w:t>
            </w:r>
            <w:proofErr w:type="spellEnd"/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Camera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  <w:t xml:space="preserve">K3 </w:t>
            </w:r>
            <w:proofErr w:type="spellStart"/>
            <w:r w:rsidRPr="00FB61F5"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  <w:t>Gatan</w:t>
            </w:r>
            <w:proofErr w:type="spellEnd"/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Magnification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>105,000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Voltage (kV)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300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Electron exposure (e</w:t>
            </w: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vertAlign w:val="superscript"/>
                <w:lang w:val="en-US" w:eastAsia="en-GB" w:bidi="hi-IN"/>
              </w:rPr>
              <w:t>–</w:t>
            </w: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/Å</w:t>
            </w: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vertAlign w:val="superscript"/>
                <w:lang w:val="en-US" w:eastAsia="en-GB" w:bidi="hi-IN"/>
              </w:rPr>
              <w:t>2</w:t>
            </w: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)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40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Defocus range (</w:t>
            </w:r>
            <w:proofErr w:type="spellStart"/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μm</w:t>
            </w:r>
            <w:proofErr w:type="spellEnd"/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)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−0.7 to −2.8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Pixel size (Å)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0.834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Total number of micrographs 0°tilt (no.)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2704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  <w:t>Total number of micrographs 40°tilt (no.)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8691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Selected micrographs (mixed, no.)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  <w:t>5781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 xml:space="preserve">Initial particle images 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1126189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Final particle images (mixed, no.)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645915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Starting model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Ab initio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  <w:t>Symmetry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C1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Map resolution, masked (Å)/FSC threshold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3.71/0.143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Sharpening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proofErr w:type="spellStart"/>
            <w:proofErr w:type="gramStart"/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phenix.autosharpen</w:t>
            </w:r>
            <w:proofErr w:type="spellEnd"/>
            <w:proofErr w:type="gramEnd"/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EMDB code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  <w:t>EMD-18396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</w:p>
        </w:tc>
      </w:tr>
      <w:tr w:rsidR="00207FF1" w:rsidRPr="00FB61F5" w:rsidTr="00207FF1">
        <w:tc>
          <w:tcPr>
            <w:tcW w:w="9026" w:type="dxa"/>
            <w:gridSpan w:val="2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val="en-US" w:eastAsia="en-GB" w:bidi="hi-IN"/>
              </w:rPr>
              <w:t>Model building and refinement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 xml:space="preserve">Initial models used, PDB or </w:t>
            </w:r>
            <w:proofErr w:type="spellStart"/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AlphaFold</w:t>
            </w:r>
            <w:proofErr w:type="spellEnd"/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 xml:space="preserve"> Protein Structure database codes: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>2CLQ (KD)</w:t>
            </w:r>
          </w:p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 xml:space="preserve"> 5ULM (CRR)</w:t>
            </w:r>
          </w:p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 xml:space="preserve"> AF-Q99683-F1 (TBD) 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Masked FSC (map-model)/FSC threshold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  <w:t>3.66/0.143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Non-hydrogen atoms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>12744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Amino acid residues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>1589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Protein molecules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  <w:t>2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 xml:space="preserve">Real-space correlation - </w:t>
            </w:r>
            <w:proofErr w:type="spellStart"/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CCvolume</w:t>
            </w:r>
            <w:proofErr w:type="spellEnd"/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  <w:t>0.64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 xml:space="preserve">Real-space correlation - </w:t>
            </w:r>
            <w:proofErr w:type="spellStart"/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CCmasked</w:t>
            </w:r>
            <w:proofErr w:type="spellEnd"/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  <w:t>0.64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B factors (mean, Å</w:t>
            </w: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vertAlign w:val="superscript"/>
                <w:lang w:val="en-US" w:eastAsia="en-GB" w:bidi="hi-IN"/>
              </w:rPr>
              <w:t>2</w:t>
            </w: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)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>97.92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Root-mean-square deviation of bond length (Å)/angles (°)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>0.003/0.616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PDB code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</w:pPr>
            <w:r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>8QGY</w:t>
            </w:r>
          </w:p>
        </w:tc>
      </w:tr>
      <w:tr w:rsidR="00207FF1" w:rsidRPr="00FB61F5" w:rsidTr="00207FF1">
        <w:tc>
          <w:tcPr>
            <w:tcW w:w="9026" w:type="dxa"/>
            <w:gridSpan w:val="2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</w:p>
        </w:tc>
      </w:tr>
      <w:tr w:rsidR="00207FF1" w:rsidRPr="00FB61F5" w:rsidTr="00207FF1">
        <w:tc>
          <w:tcPr>
            <w:tcW w:w="9026" w:type="dxa"/>
            <w:gridSpan w:val="2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b/>
                <w:bCs/>
                <w:kern w:val="2"/>
                <w:sz w:val="24"/>
                <w:szCs w:val="24"/>
                <w:lang w:val="en-US" w:eastAsia="en-GB" w:bidi="hi-IN"/>
              </w:rPr>
              <w:t>Validation</w:t>
            </w:r>
          </w:p>
        </w:tc>
      </w:tr>
      <w:tr w:rsidR="00207FF1" w:rsidRPr="00FB61F5" w:rsidTr="00207FF1">
        <w:trPr>
          <w:trHeight w:val="360"/>
        </w:trPr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proofErr w:type="spellStart"/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MolProbity</w:t>
            </w:r>
            <w:proofErr w:type="spellEnd"/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 xml:space="preserve"> score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>2.09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proofErr w:type="spellStart"/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Clashscore</w:t>
            </w:r>
            <w:proofErr w:type="spellEnd"/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>4.56</w:t>
            </w:r>
          </w:p>
        </w:tc>
      </w:tr>
      <w:tr w:rsidR="00207FF1" w:rsidRPr="00FB61F5" w:rsidTr="00207FF1">
        <w:tc>
          <w:tcPr>
            <w:tcW w:w="66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Rotamer outliers (%)</w:t>
            </w:r>
          </w:p>
        </w:tc>
        <w:tc>
          <w:tcPr>
            <w:tcW w:w="2363" w:type="dxa"/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>3.9</w:t>
            </w:r>
          </w:p>
        </w:tc>
      </w:tr>
      <w:tr w:rsidR="00207FF1" w:rsidRPr="00FB61F5" w:rsidTr="00207FF1">
        <w:tc>
          <w:tcPr>
            <w:tcW w:w="6663" w:type="dxa"/>
            <w:tcBorders>
              <w:bottom w:val="single" w:sz="4" w:space="0" w:color="000000"/>
            </w:tcBorders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</w:pPr>
            <w:r w:rsidRPr="00FB61F5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en-GB" w:bidi="hi-IN"/>
              </w:rPr>
              <w:t>Ramachandran plot - Favored (%)/Allowed (%)/Disallowed (%)</w:t>
            </w:r>
          </w:p>
        </w:tc>
        <w:tc>
          <w:tcPr>
            <w:tcW w:w="2363" w:type="dxa"/>
            <w:tcBorders>
              <w:bottom w:val="single" w:sz="4" w:space="0" w:color="000000"/>
            </w:tcBorders>
            <w:vAlign w:val="center"/>
          </w:tcPr>
          <w:p w:rsidR="00207FF1" w:rsidRPr="00FB61F5" w:rsidRDefault="00207FF1" w:rsidP="00536F1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Noto Serif CJK SC" w:hAnsi="Arial" w:cs="Lohit Devanagari"/>
                <w:kern w:val="2"/>
                <w:sz w:val="24"/>
                <w:szCs w:val="24"/>
                <w:lang w:val="en-US" w:eastAsia="zh-CN" w:bidi="hi-IN"/>
              </w:rPr>
            </w:pPr>
            <w:r w:rsidRPr="00FB61F5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val="en-US" w:eastAsia="en-GB" w:bidi="hi-IN"/>
              </w:rPr>
              <w:t>93.77/6.17/0.06</w:t>
            </w:r>
          </w:p>
        </w:tc>
      </w:tr>
    </w:tbl>
    <w:p w:rsidR="00207FF1" w:rsidRPr="00FB61F5" w:rsidRDefault="00207FF1" w:rsidP="00207F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BD7CD8" w:rsidRDefault="00BD7CD8"/>
    <w:sectPr w:rsidR="00BD7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F1"/>
    <w:rsid w:val="00207FF1"/>
    <w:rsid w:val="00B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0A9A"/>
  <w15:chartTrackingRefBased/>
  <w15:docId w15:val="{5EE7E4F2-DF37-487E-8ED9-F8795E42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FF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Obsil</dc:creator>
  <cp:keywords/>
  <dc:description/>
  <cp:lastModifiedBy>Tomas Obsil</cp:lastModifiedBy>
  <cp:revision>1</cp:revision>
  <dcterms:created xsi:type="dcterms:W3CDTF">2024-03-12T08:10:00Z</dcterms:created>
  <dcterms:modified xsi:type="dcterms:W3CDTF">2024-03-12T08:13:00Z</dcterms:modified>
</cp:coreProperties>
</file>