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2B7CAD8B" w:rsidR="00F102CC" w:rsidRPr="00AF4230" w:rsidRDefault="000B7055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F996091" w:rsidR="00F102CC" w:rsidRPr="00AF4230" w:rsidRDefault="00A44572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Methods, </w:t>
            </w:r>
            <w:r w:rsidR="00AF4230">
              <w:rPr>
                <w:rFonts w:eastAsia="Noto Sans"/>
                <w:bCs/>
                <w:color w:val="434343"/>
                <w:sz w:val="18"/>
                <w:szCs w:val="18"/>
              </w:rPr>
              <w:t>Key Resources Table</w:t>
            </w:r>
            <w:r w:rsidR="00E07BA5">
              <w:rPr>
                <w:rFonts w:eastAsia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04F776F9" w:rsidR="00F102CC" w:rsidRPr="000B7055" w:rsidRDefault="000B7055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66B4BBD8" w:rsidR="00F102CC" w:rsidRPr="000B7055" w:rsidRDefault="000B7055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F749E37" w:rsidR="000B7055" w:rsidRPr="000B7055" w:rsidRDefault="00A44572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Method</w:t>
            </w:r>
            <w:r w:rsidR="00E5556A">
              <w:rPr>
                <w:rFonts w:eastAsia="Noto Sans"/>
                <w:bCs/>
                <w:color w:val="434343"/>
                <w:sz w:val="18"/>
                <w:szCs w:val="18"/>
              </w:rPr>
              <w:t>s, animals and culture sections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1E000B83" w:rsidR="003250D1" w:rsidRPr="003250D1" w:rsidRDefault="00A44572" w:rsidP="003250D1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Methods</w:t>
            </w:r>
            <w:r w:rsidR="003250D1">
              <w:rPr>
                <w:rFonts w:eastAsia="Noto Sans"/>
                <w:bCs/>
                <w:color w:val="434343"/>
                <w:sz w:val="18"/>
                <w:szCs w:val="18"/>
              </w:rPr>
              <w:t>, VOR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E07EB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524AC82" w:rsidR="00CE07EB" w:rsidRPr="000B7055" w:rsidRDefault="00CE07EB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CE07EB" w:rsidRDefault="00CE07EB" w:rsidP="00CE07E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CE07EB" w:rsidRDefault="00CE07EB" w:rsidP="00CE07E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E07EB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CE07EB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B1E4E6F" w:rsidR="00CE07EB" w:rsidRPr="00715193" w:rsidRDefault="00715193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CE07EB" w:rsidRDefault="00CE07EB" w:rsidP="00CE07E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2B5B32E" w:rsidR="00CE07EB" w:rsidRPr="00715193" w:rsidRDefault="00715193" w:rsidP="00CE07EB">
            <w:pPr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CE07EB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CE07EB" w:rsidRPr="003D5AF6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CE07EB" w:rsidRDefault="00CE07EB" w:rsidP="00CE07E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CE07EB" w:rsidRDefault="00CE07EB" w:rsidP="00CE07E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E07EB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CE07EB" w:rsidRDefault="00CE07EB" w:rsidP="00CE07E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E07EB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CE07EB" w:rsidRDefault="00CE07EB" w:rsidP="00CE07E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CE07EB" w:rsidRPr="003D5AF6" w:rsidRDefault="00CE07EB" w:rsidP="00CE07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281AC518" w:rsidR="00CE07EB" w:rsidRPr="00715193" w:rsidRDefault="00715193" w:rsidP="00CE07EB">
            <w:pPr>
              <w:rPr>
                <w:rFonts w:eastAsia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26A5E5A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A1A79E8" w:rsidR="00F102CC" w:rsidRPr="00422FB8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5E8DCAD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 w:rsidTr="00DD0527">
        <w:trPr>
          <w:trHeight w:val="1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417F7172" w:rsidR="00F102CC" w:rsidRPr="00077C85" w:rsidRDefault="00E5556A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 xml:space="preserve">Methods and </w:t>
            </w:r>
            <w:r w:rsidR="00A44572">
              <w:rPr>
                <w:rFonts w:eastAsia="Noto Sans"/>
                <w:bCs/>
                <w:color w:val="434343"/>
                <w:sz w:val="18"/>
                <w:szCs w:val="18"/>
              </w:rPr>
              <w:t>Figure legend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s 1, 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2072A62F" w:rsidR="00F102CC" w:rsidRPr="00077C85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6BE95B82" w:rsidR="00F102CC" w:rsidRPr="003250D1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250D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695E1D2F" w:rsidR="00F102CC" w:rsidRPr="00077C85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C11F9DE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4CC40CBA" w:rsidR="00F102CC" w:rsidRPr="00606EFD" w:rsidRDefault="00F102C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4F2CCFC0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4ED678BD" w:rsidR="00F102CC" w:rsidRPr="00620F2E" w:rsidRDefault="00A4457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  <w:r w:rsidR="00620F2E">
              <w:rPr>
                <w:rFonts w:eastAsia="Noto Sans"/>
                <w:bCs/>
                <w:color w:val="434343"/>
                <w:sz w:val="18"/>
                <w:szCs w:val="18"/>
              </w:rPr>
              <w:t>, Figure legend 6, 9f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B34219D" w:rsidR="00F102CC" w:rsidRPr="00620F2E" w:rsidRDefault="00A4457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Methods, </w:t>
            </w:r>
            <w:r w:rsidR="00620F2E">
              <w:rPr>
                <w:rFonts w:eastAsia="Noto Sans"/>
                <w:bCs/>
                <w:color w:val="434343"/>
                <w:sz w:val="18"/>
                <w:szCs w:val="18"/>
              </w:rPr>
              <w:t>biological replicates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331646C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39AB" w14:textId="77777777" w:rsidR="00F102CC" w:rsidRDefault="00A44572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Methods</w:t>
            </w:r>
          </w:p>
          <w:p w14:paraId="2A6BA9BD" w14:textId="043DDBC3" w:rsidR="00620F2E" w:rsidRPr="00422FB8" w:rsidRDefault="00620F2E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#996-0</w:t>
            </w:r>
            <w:r w:rsidR="00CB2D4E">
              <w:rPr>
                <w:rFonts w:eastAsia="Noto Sans"/>
                <w:bCs/>
                <w:color w:val="434343"/>
                <w:sz w:val="18"/>
                <w:szCs w:val="18"/>
              </w:rPr>
              <w:t>1</w:t>
            </w:r>
            <w:r>
              <w:rPr>
                <w:rFonts w:eastAsia="Noto Sans"/>
                <w:bCs/>
                <w:color w:val="434343"/>
                <w:sz w:val="18"/>
                <w:szCs w:val="18"/>
              </w:rPr>
              <w:t>35-</w:t>
            </w:r>
            <w:r w:rsidR="00CB2D4E">
              <w:rPr>
                <w:rFonts w:eastAsia="Noto Sans"/>
                <w:bCs/>
                <w:color w:val="434343"/>
                <w:sz w:val="18"/>
                <w:szCs w:val="18"/>
              </w:rPr>
              <w:t>15</w:t>
            </w:r>
            <w:bookmarkStart w:id="2" w:name="_GoBack"/>
            <w:bookmarkEnd w:id="2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DCEC996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C96C588" w:rsidR="00F102CC" w:rsidRPr="00715193" w:rsidRDefault="007151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6A6E6AF7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342F316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Methods, Results, 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A1C0DE9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section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91ADD3C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section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5D57E096" w:rsidR="00F102CC" w:rsidRPr="0057571C" w:rsidRDefault="0057571C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77C97BAD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BD451E0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2E4FA9B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33E69F30" w:rsidR="00F102CC" w:rsidRPr="003D5AF6" w:rsidRDefault="00A4457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Submission form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1B03D4">
      <w:pPr>
        <w:spacing w:before="80"/>
      </w:pPr>
      <w:bookmarkStart w:id="4" w:name="_cm0qssfkw66b" w:colFirst="0" w:colLast="0"/>
      <w:bookmarkEnd w:id="4"/>
      <w:r>
        <w:rPr>
          <w:noProof/>
        </w:rPr>
        <w:pict w14:anchorId="5E7F9325">
          <v:rect id="_x0000_i1025" alt="" style="width:145.25pt;height:.05pt;mso-width-percent:0;mso-height-percent:0;mso-width-percent:0;mso-height-percent:0" o:hralign="center" o:hrstd="t" o:hr="t" fillcolor="#a0a0a0" stroked="f"/>
        </w:pict>
      </w:r>
    </w:p>
    <w:p w14:paraId="7C5EDE35" w14:textId="571288F6" w:rsidR="00F102CC" w:rsidRDefault="00F102CC" w:rsidP="0040664D"/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DE0B" w14:textId="77777777" w:rsidR="001B03D4" w:rsidRDefault="001B03D4">
      <w:r>
        <w:separator/>
      </w:r>
    </w:p>
  </w:endnote>
  <w:endnote w:type="continuationSeparator" w:id="0">
    <w:p w14:paraId="6DB73CB1" w14:textId="77777777" w:rsidR="001B03D4" w:rsidRDefault="001B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2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42BDD" w14:textId="77777777" w:rsidR="001B03D4" w:rsidRDefault="001B03D4">
      <w:r>
        <w:separator/>
      </w:r>
    </w:p>
  </w:footnote>
  <w:footnote w:type="continuationSeparator" w:id="0">
    <w:p w14:paraId="0C0F54E6" w14:textId="77777777" w:rsidR="001B03D4" w:rsidRDefault="001B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24ADB"/>
    <w:rsid w:val="00065E8D"/>
    <w:rsid w:val="00077C85"/>
    <w:rsid w:val="000B600B"/>
    <w:rsid w:val="000B7055"/>
    <w:rsid w:val="001B03D4"/>
    <w:rsid w:val="001B3BCC"/>
    <w:rsid w:val="002209A8"/>
    <w:rsid w:val="002F2B75"/>
    <w:rsid w:val="003250D1"/>
    <w:rsid w:val="003D5AF6"/>
    <w:rsid w:val="00400C53"/>
    <w:rsid w:val="0040664D"/>
    <w:rsid w:val="00422FB8"/>
    <w:rsid w:val="00427975"/>
    <w:rsid w:val="004C716C"/>
    <w:rsid w:val="004D7C17"/>
    <w:rsid w:val="004E2C31"/>
    <w:rsid w:val="005118C8"/>
    <w:rsid w:val="0057571C"/>
    <w:rsid w:val="005B0259"/>
    <w:rsid w:val="005C1EA3"/>
    <w:rsid w:val="005F4FAD"/>
    <w:rsid w:val="00606EFD"/>
    <w:rsid w:val="00620F2E"/>
    <w:rsid w:val="007054B6"/>
    <w:rsid w:val="00715193"/>
    <w:rsid w:val="0078687E"/>
    <w:rsid w:val="007C19AD"/>
    <w:rsid w:val="009B7640"/>
    <w:rsid w:val="009C7B26"/>
    <w:rsid w:val="009D079E"/>
    <w:rsid w:val="00A11E52"/>
    <w:rsid w:val="00A44572"/>
    <w:rsid w:val="00AA0BE8"/>
    <w:rsid w:val="00AF4230"/>
    <w:rsid w:val="00B06DD3"/>
    <w:rsid w:val="00B2483D"/>
    <w:rsid w:val="00BD41E9"/>
    <w:rsid w:val="00C84413"/>
    <w:rsid w:val="00CB2D4E"/>
    <w:rsid w:val="00CE07EB"/>
    <w:rsid w:val="00DD0527"/>
    <w:rsid w:val="00DD1B10"/>
    <w:rsid w:val="00E07BA5"/>
    <w:rsid w:val="00E5556A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Revision">
    <w:name w:val="Revision"/>
    <w:hidden/>
    <w:uiPriority w:val="99"/>
    <w:semiHidden/>
    <w:rsid w:val="00A4457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Phelps, Patricia</cp:lastModifiedBy>
  <cp:revision>6</cp:revision>
  <cp:lastPrinted>2025-04-03T20:48:00Z</cp:lastPrinted>
  <dcterms:created xsi:type="dcterms:W3CDTF">2025-03-29T02:36:00Z</dcterms:created>
  <dcterms:modified xsi:type="dcterms:W3CDTF">2025-04-03T22:42:00Z</dcterms:modified>
</cp:coreProperties>
</file>