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18"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18"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18"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r>
        <w:rPr>
          <w:rFonts w:eastAsia="Noto Sans" w:cs="Noto Sans" w:ascii="Noto Sans" w:hAnsi="Noto Sans"/>
          <w:color w:val="1155CC"/>
          <w:sz w:val="20"/>
          <w:szCs w:val="20"/>
          <w:u w:val="single"/>
        </w:rPr>
        <w:t>EQUATOR Network</w:t>
      </w:r>
      <w:r>
        <w:rPr>
          <w:rFonts w:eastAsia="Noto Sans" w:cs="Noto Sans" w:ascii="Noto Sans" w:hAnsi="Noto Sans"/>
          <w:sz w:val="20"/>
          <w:szCs w:val="20"/>
        </w:rPr>
        <w:t>), life science research (see the </w:t>
      </w:r>
      <w:hyperlink r:id="rId3">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4">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5">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6">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18"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18"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18"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550"/>
        <w:gridCol w:w="3071"/>
        <w:gridCol w:w="1099"/>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9"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1"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9" w:type="dxa"/>
            <w:tcBorders>
              <w:bottom w:val="single" w:sz="8" w:space="0" w:color="000000"/>
              <w:right w:val="single" w:sz="8" w:space="0" w:color="000000"/>
            </w:tcBorders>
            <w:tcMar>
              <w:left w:w="120" w:type="dxa"/>
              <w:right w:w="120" w:type="dxa"/>
            </w:tcMar>
          </w:tcPr>
          <w:p>
            <w:pPr>
              <w:pStyle w:val="Normal"/>
              <w:widowControl w:val="false"/>
              <w:jc w:val="center"/>
              <w:rPr>
                <w:rFonts w:ascii="Calibri" w:hAnsi="Calibri" w:eastAsia="Noto Sans" w:cs="Noto Sans"/>
                <w:b w:val="false"/>
                <w:b w:val="false"/>
                <w:bCs w:val="false"/>
                <w:color w:val="434343"/>
                <w:sz w:val="40"/>
                <w:szCs w:val="40"/>
              </w:rPr>
            </w:pPr>
            <w:r>
              <w:rPr>
                <w:rFonts w:eastAsia="Noto Sans" w:cs="Noto Sans"/>
                <w:b w:val="false"/>
                <w:bCs w:val="false"/>
                <w:color w:val="434343"/>
                <w:sz w:val="40"/>
                <w:szCs w:val="40"/>
              </w:rPr>
              <w:t>X</w:t>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1" w:type="dxa"/>
            <w:tcBorders/>
          </w:tcPr>
          <w:p>
            <w:pPr>
              <w:pStyle w:val="Normal"/>
              <w:widowControl w:val="false"/>
              <w:spacing w:lineRule="auto" w:line="218"/>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9" w:type="dxa"/>
            <w:tcBorders/>
          </w:tcPr>
          <w:p>
            <w:pPr>
              <w:pStyle w:val="Normal"/>
              <w:widowControl w:val="false"/>
              <w:spacing w:lineRule="auto" w:line="218"/>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9"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7">
              <w:r>
                <w:rPr>
                  <w:rFonts w:eastAsia="Noto Sans" w:cs="Noto Sans" w:ascii="Noto Sans" w:hAnsi="Noto Sans"/>
                  <w:color w:val="434343"/>
                  <w:sz w:val="18"/>
                  <w:szCs w:val="18"/>
                </w:rPr>
                <w:t xml:space="preserve"> </w:t>
              </w:r>
            </w:hyperlink>
            <w:hyperlink r:id="rId8">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1"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9" w:type="dxa"/>
            <w:tcBorders>
              <w:bottom w:val="single" w:sz="8" w:space="0" w:color="000000"/>
              <w:right w:val="single" w:sz="8" w:space="0" w:color="000000"/>
            </w:tcBorders>
            <w:tcMar>
              <w:left w:w="120" w:type="dxa"/>
              <w:right w:w="120" w:type="dxa"/>
            </w:tcMar>
          </w:tcPr>
          <w:p>
            <w:pPr>
              <w:pStyle w:val="Normal"/>
              <w:widowControl w:val="false"/>
              <w:jc w:val="center"/>
              <w:rPr>
                <w:rFonts w:ascii="Calibri" w:hAnsi="Calibri" w:eastAsia="Noto Sans" w:cs="Noto Sans"/>
                <w:b w:val="false"/>
                <w:b w:val="false"/>
                <w:bCs w:val="false"/>
                <w:color w:val="434343"/>
                <w:sz w:val="40"/>
                <w:szCs w:val="40"/>
              </w:rPr>
            </w:pPr>
            <w:r>
              <w:rPr>
                <w:rFonts w:eastAsia="Noto Sans" w:cs="Noto Sans"/>
                <w:b w:val="false"/>
                <w:bCs w:val="false"/>
                <w:color w:val="434343"/>
                <w:sz w:val="40"/>
                <w:szCs w:val="40"/>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1"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9"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1"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9"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1"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9" w:type="dxa"/>
            <w:tcBorders>
              <w:bottom w:val="single" w:sz="8" w:space="0" w:color="000000"/>
              <w:right w:val="single" w:sz="8" w:space="0" w:color="000000"/>
            </w:tcBorders>
          </w:tcPr>
          <w:p>
            <w:pPr>
              <w:pStyle w:val="Normal"/>
              <w:widowControl w:val="false"/>
              <w:jc w:val="center"/>
              <w:rPr>
                <w:rFonts w:ascii="Calibri" w:hAnsi="Calibri" w:eastAsia="Noto Sans" w:cs="Noto Sans"/>
                <w:b w:val="false"/>
                <w:b w:val="false"/>
                <w:bCs w:val="false"/>
                <w:color w:val="434343"/>
                <w:sz w:val="40"/>
                <w:szCs w:val="40"/>
              </w:rPr>
            </w:pPr>
            <w:r>
              <w:rPr>
                <w:rFonts w:eastAsia="Noto Sans" w:cs="Noto Sans"/>
                <w:b w:val="false"/>
                <w:bCs w:val="false"/>
                <w:color w:val="434343"/>
                <w:sz w:val="40"/>
                <w:szCs w:val="40"/>
              </w:rPr>
              <w:t>X</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1"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9"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1"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9"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1"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9" w:type="dxa"/>
            <w:tcBorders>
              <w:bottom w:val="single" w:sz="8" w:space="0" w:color="000000"/>
              <w:right w:val="single" w:sz="8" w:space="0" w:color="000000"/>
            </w:tcBorders>
          </w:tcPr>
          <w:p>
            <w:pPr>
              <w:pStyle w:val="Normal"/>
              <w:widowControl w:val="false"/>
              <w:jc w:val="center"/>
              <w:rPr>
                <w:rFonts w:ascii="Calibri" w:hAnsi="Calibri" w:eastAsia="Noto Sans" w:cs="Noto Sans"/>
                <w:b w:val="false"/>
                <w:b w:val="false"/>
                <w:bCs w:val="false"/>
                <w:color w:val="434343"/>
                <w:sz w:val="40"/>
                <w:szCs w:val="40"/>
              </w:rPr>
            </w:pPr>
            <w:r>
              <w:rPr>
                <w:rFonts w:eastAsia="Noto Sans" w:cs="Noto Sans"/>
                <w:b w:val="false"/>
                <w:bCs w:val="false"/>
                <w:color w:val="434343"/>
                <w:sz w:val="40"/>
                <w:szCs w:val="40"/>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1"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9" w:type="dxa"/>
            <w:tcBorders>
              <w:bottom w:val="single" w:sz="8" w:space="0" w:color="000000"/>
              <w:right w:val="single" w:sz="8" w:space="0" w:color="000000"/>
            </w:tcBorders>
          </w:tcPr>
          <w:p>
            <w:pPr>
              <w:pStyle w:val="Normal"/>
              <w:widowControl w:val="false"/>
              <w:jc w:val="center"/>
              <w:rPr>
                <w:rFonts w:ascii="Calibri" w:hAnsi="Calibri" w:eastAsia="Noto Sans" w:cs="Noto Sans"/>
                <w:b w:val="false"/>
                <w:b w:val="false"/>
                <w:bCs w:val="false"/>
                <w:color w:val="434343"/>
                <w:sz w:val="40"/>
                <w:szCs w:val="40"/>
              </w:rPr>
            </w:pPr>
            <w:r>
              <w:rPr>
                <w:rFonts w:eastAsia="Noto Sans" w:cs="Noto Sans"/>
                <w:b w:val="false"/>
                <w:bCs w:val="false"/>
                <w:color w:val="434343"/>
                <w:sz w:val="40"/>
                <w:szCs w:val="40"/>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1"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9"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1"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9"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1"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Both males and females P19 to P25 wild type Sprague Dawley rats were used in this study. They were </w:t>
            </w:r>
            <w:r>
              <w:rPr>
                <w:rFonts w:eastAsia="Calibri" w:cs="Calibri" w:ascii="Noto Sans" w:hAnsi="Noto Sans"/>
                <w:bCs/>
                <w:color w:val="434343"/>
                <w:sz w:val="18"/>
                <w:szCs w:val="18"/>
              </w:rPr>
              <w:t>provided by Janvier (St Berthevin, France) or bred and housed at the Animal Housing and Breeding facility of BioMedTech facilities (INSERM US36, CNRS UAR2009, Université Paris Cité) in agreement with the European Directive 2010/63/UE regarding the protection of animals used for experimental and other scientific purposes.</w:t>
            </w:r>
          </w:p>
        </w:tc>
        <w:tc>
          <w:tcPr>
            <w:tcW w:w="1099"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1"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9" w:type="dxa"/>
            <w:tcBorders>
              <w:bottom w:val="single" w:sz="8" w:space="0" w:color="000000"/>
              <w:right w:val="single" w:sz="8" w:space="0" w:color="000000"/>
            </w:tcBorders>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1"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9"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1"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9"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1"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9" w:type="dxa"/>
            <w:tcBorders>
              <w:bottom w:val="single" w:sz="8" w:space="0" w:color="000000"/>
              <w:right w:val="single" w:sz="8" w:space="0" w:color="000000"/>
            </w:tcBorders>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1"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9" w:type="dxa"/>
            <w:tcBorders>
              <w:bottom w:val="single" w:sz="8" w:space="0" w:color="000000"/>
              <w:right w:val="single" w:sz="8" w:space="0" w:color="000000"/>
            </w:tcBorders>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425" w:hRule="atLeast"/>
        </w:trPr>
        <w:tc>
          <w:tcPr>
            <w:tcW w:w="5550" w:type="dxa"/>
            <w:tcBorders>
              <w:bottom w:val="single" w:sz="8" w:space="0" w:color="000000"/>
            </w:tcBorders>
          </w:tcPr>
          <w:p>
            <w:pPr>
              <w:pStyle w:val="Normal"/>
              <w:widowControl w:val="false"/>
              <w:spacing w:lineRule="auto" w:line="218"/>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1"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9"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1"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9"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18"/>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1"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9" w:type="dxa"/>
            <w:tcBorders>
              <w:bottom w:val="single" w:sz="8" w:space="0" w:color="000000"/>
              <w:right w:val="single" w:sz="8" w:space="0" w:color="000000"/>
            </w:tcBorders>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bl>
    <w:p>
      <w:pPr>
        <w:pStyle w:val="Normal"/>
        <w:spacing w:lineRule="auto" w:line="218"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18"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595"/>
        <w:gridCol w:w="3101"/>
        <w:gridCol w:w="994"/>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1" w:type="dxa"/>
            <w:tcBorders>
              <w:bottom w:val="single" w:sz="8" w:space="0" w:color="000000"/>
              <w:right w:val="single" w:sz="8" w:space="0" w:color="000000"/>
            </w:tcBorders>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4" w:type="dxa"/>
            <w:tcBorders>
              <w:bottom w:val="single" w:sz="8" w:space="0" w:color="000000"/>
              <w:right w:val="single" w:sz="8" w:space="0" w:color="000000"/>
            </w:tcBorders>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1" w:type="dxa"/>
            <w:tcBorders>
              <w:bottom w:val="single" w:sz="8" w:space="0" w:color="000000"/>
            </w:tcBorders>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4" w:type="dxa"/>
            <w:tcBorders>
              <w:bottom w:val="single" w:sz="8" w:space="0" w:color="000000"/>
            </w:tcBorders>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1"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4"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1" w:type="dxa"/>
            <w:tcBorders>
              <w:bottom w:val="single" w:sz="8" w:space="0" w:color="000000"/>
              <w:right w:val="single" w:sz="8" w:space="0" w:color="000000"/>
            </w:tcBorders>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4" w:type="dxa"/>
            <w:tcBorders>
              <w:bottom w:val="single" w:sz="8" w:space="0" w:color="000000"/>
              <w:right w:val="single" w:sz="8" w:space="0" w:color="000000"/>
            </w:tcBorders>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1" w:type="dxa"/>
            <w:tcBorders>
              <w:bottom w:val="single" w:sz="8" w:space="0" w:color="000000"/>
            </w:tcBorders>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4" w:type="dxa"/>
            <w:tcBorders>
              <w:bottom w:val="single" w:sz="8" w:space="0" w:color="000000"/>
            </w:tcBorders>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1"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4"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1"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4"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1"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4"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1"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4"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1"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4"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1" w:type="dxa"/>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4" w:type="dxa"/>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1"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In all result sections and figure legends</w:t>
            </w:r>
          </w:p>
        </w:tc>
        <w:tc>
          <w:tcPr>
            <w:tcW w:w="994"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1"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4"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1"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4"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1"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4"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1"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4"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1" w:type="dxa"/>
            <w:tcBorders>
              <w:bottom w:val="single" w:sz="8" w:space="0" w:color="000000"/>
              <w:right w:val="single" w:sz="8" w:space="0" w:color="000000"/>
            </w:tcBorders>
            <w:shd w:color="auto" w:fill="auto" w:val="clear"/>
          </w:tcPr>
          <w:p>
            <w:pPr>
              <w:pStyle w:val="Normal"/>
              <w:widowControl w:val="false"/>
              <w:spacing w:lineRule="auto" w:line="240" w:before="240" w:after="0"/>
              <w:jc w:val="left"/>
              <w:rPr>
                <w:color w:val="000000"/>
              </w:rPr>
            </w:pPr>
            <w:r>
              <w:rPr>
                <w:rFonts w:eastAsia="Calibri" w:cs="Calibri"/>
                <w:color w:val="000000"/>
              </w:rPr>
              <w:t>Experimental procedures were approved by the French Ministry of Research and the ethical committee for animal experimentation (CEEA-034) approval APAFIS#8725-2016100714582450.</w:t>
            </w:r>
          </w:p>
        </w:tc>
        <w:tc>
          <w:tcPr>
            <w:tcW w:w="994"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1"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4"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1"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4"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1"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4"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1"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4"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bl>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18"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561"/>
        <w:gridCol w:w="3165"/>
        <w:gridCol w:w="979"/>
      </w:tblGrid>
      <w:tr>
        <w:trPr>
          <w:trHeight w:val="425" w:hRule="atLeast"/>
        </w:trPr>
        <w:tc>
          <w:tcPr>
            <w:tcW w:w="5561"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9"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1"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000000"/>
                <w:sz w:val="18"/>
                <w:szCs w:val="18"/>
              </w:rPr>
            </w:pPr>
            <w:r>
              <w:rPr>
                <w:rFonts w:eastAsia="Noto Sans" w:cs="Noto Sans" w:ascii="Noto Sans" w:hAnsi="Noto Sans"/>
                <w:bCs/>
                <w:color w:val="000000"/>
                <w:sz w:val="18"/>
                <w:szCs w:val="18"/>
              </w:rPr>
              <w:t>See end of the section on Patch Clamp recordings of synaptic currents in Methods section.</w:t>
            </w:r>
          </w:p>
        </w:tc>
        <w:tc>
          <w:tcPr>
            <w:tcW w:w="979"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1"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9"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1"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9"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1"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See Methods section on statistical significance.</w:t>
            </w:r>
          </w:p>
        </w:tc>
        <w:tc>
          <w:tcPr>
            <w:tcW w:w="979"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1"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9"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1"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9"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1"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color w:val="000000"/>
              </w:rPr>
            </w:pPr>
            <w:r>
              <w:rPr>
                <w:rFonts w:eastAsia="Noto Sans" w:cs="Noto Sans" w:ascii="Noto Sans" w:hAnsi="Noto Sans"/>
                <w:bCs/>
                <w:color w:val="000000"/>
                <w:sz w:val="18"/>
                <w:szCs w:val="18"/>
              </w:rPr>
              <w:t>DOI in section Data availability end of Method section</w:t>
            </w:r>
          </w:p>
        </w:tc>
        <w:tc>
          <w:tcPr>
            <w:tcW w:w="979"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1"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color w:val="000000"/>
              </w:rPr>
            </w:pPr>
            <w:r>
              <w:rPr>
                <w:rFonts w:eastAsia="Noto Sans" w:cs="Noto Sans" w:ascii="Noto Sans" w:hAnsi="Noto Sans"/>
                <w:bCs/>
                <w:color w:val="000000"/>
                <w:sz w:val="18"/>
                <w:szCs w:val="18"/>
              </w:rPr>
              <w:t>DOI in section Data availability end of Method section</w:t>
            </w:r>
          </w:p>
        </w:tc>
        <w:tc>
          <w:tcPr>
            <w:tcW w:w="979"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1"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9"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425" w:hRule="atLeast"/>
        </w:trPr>
        <w:tc>
          <w:tcPr>
            <w:tcW w:w="5561"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9"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1"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9"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1"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9"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1080" w:hRule="atLeast"/>
        </w:trPr>
        <w:tc>
          <w:tcPr>
            <w:tcW w:w="5561"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rPr>
            </w:pPr>
            <w:r>
              <w:rPr>
                <w:rFonts w:eastAsia="Noto Sans" w:cs="Noto Sans" w:ascii="Noto Sans" w:hAnsi="Noto Sans"/>
                <w:bCs/>
                <w:color w:val="434343"/>
              </w:rPr>
            </w:r>
          </w:p>
        </w:tc>
        <w:tc>
          <w:tcPr>
            <w:tcW w:w="979"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r>
        <w:trPr>
          <w:trHeight w:val="720" w:hRule="atLeast"/>
        </w:trPr>
        <w:tc>
          <w:tcPr>
            <w:tcW w:w="5561"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9"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bl>
    <w:p>
      <w:pPr>
        <w:pStyle w:val="Normal"/>
        <w:spacing w:lineRule="auto" w:line="218"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18"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18"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18"/>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486"/>
        <w:gridCol w:w="3330"/>
        <w:gridCol w:w="859"/>
      </w:tblGrid>
      <w:tr>
        <w:trPr>
          <w:trHeight w:val="500" w:hRule="atLeast"/>
        </w:trPr>
        <w:tc>
          <w:tcPr>
            <w:tcW w:w="5486"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9"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6"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9" w:type="dxa"/>
            <w:tcBorders>
              <w:bottom w:val="single" w:sz="8" w:space="0" w:color="000000"/>
              <w:right w:val="single" w:sz="8" w:space="0" w:color="000000"/>
            </w:tcBorders>
            <w:shd w:color="auto" w:fill="auto" w:val="clear"/>
          </w:tcPr>
          <w:p>
            <w:pPr>
              <w:pStyle w:val="Normal"/>
              <w:widowControl w:val="false"/>
              <w:jc w:val="center"/>
              <w:rPr>
                <w:rFonts w:ascii="Calibri" w:hAnsi="Calibri" w:eastAsia="Noto Sans" w:cs="Noto Sans"/>
                <w:b w:val="false"/>
                <w:b w:val="false"/>
                <w:bCs w:val="false"/>
                <w:color w:val="434343"/>
                <w:sz w:val="36"/>
                <w:szCs w:val="36"/>
              </w:rPr>
            </w:pPr>
            <w:r>
              <w:rPr>
                <w:rFonts w:eastAsia="Noto Sans" w:cs="Noto Sans"/>
                <w:b w:val="false"/>
                <w:bCs w:val="false"/>
                <w:color w:val="434343"/>
                <w:sz w:val="36"/>
                <w:szCs w:val="36"/>
              </w:rPr>
              <w:t>X</w:t>
            </w:r>
          </w:p>
        </w:tc>
      </w:tr>
    </w:tbl>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Shape1"/>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path="m0,0l-2147483645,0l-2147483645,-2147483646l0,-2147483646xe" fillcolor="#a0a0a0" stroked="f" o:allowincell="f" style="position:absolute;margin-left:0pt;margin-top:-0.1pt;width:467.95pt;height:0pt;mso-wrap-style:none;v-text-anchor:middle;mso-position-vertical:top">
                <v:fill o:detectmouseclick="t" type="solid" color2="#5f5f5f"/>
                <v:stroke color="#3465a4" joinstyle="round" endcap="flat"/>
                <w10:wrap type="square"/>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0"/>
      <w:headerReference w:type="first" r:id="rId11"/>
      <w:footerReference w:type="default" r:id="rId12"/>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Noto Sans">
    <w:charset w:val="00"/>
    <w:family w:val="roman"/>
    <w:pitch w:val="variable"/>
  </w:font>
  <w:font w:name="Wingdings">
    <w:charset w:val="02"/>
    <w:family w:val="auto"/>
    <w:pitch w:val="variable"/>
  </w:font>
  <w:font w:name="Wingdings 2">
    <w:charset w:val="0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https://doi.org/10.1038/d41586-020-01751-5" TargetMode="External"/><Relationship Id="rId6" Type="http://schemas.openxmlformats.org/officeDocument/2006/relationships/hyperlink" Target="https://reviewer.elifesciences.org/author-guide/journal-policies" TargetMode="External"/><Relationship Id="rId7" Type="http://schemas.openxmlformats.org/officeDocument/2006/relationships/hyperlink" Target="https://scicrunch.org/resources" TargetMode="External"/><Relationship Id="rId8" Type="http://schemas.openxmlformats.org/officeDocument/2006/relationships/hyperlink" Target="https://scicrunch.org/resources" TargetMode="External"/><Relationship Id="rId9" Type="http://schemas.openxmlformats.org/officeDocument/2006/relationships/hyperlink" Target="https://doi.org/10.7554/eLife.48175"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Application>LibreOffice/7.4.7.2$Windows_X86_64 LibreOffice_project/723314e595e8007d3cf785c16538505a1c878ca5</Application>
  <AppVersion>15.0000</AppVersion>
  <Pages>8</Pages>
  <Words>1378</Words>
  <Characters>8295</Characters>
  <CharactersWithSpaces>9544</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en-GB</dc:language>
  <cp:lastModifiedBy/>
  <dcterms:modified xsi:type="dcterms:W3CDTF">2024-11-26T14:24:20Z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