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Pr="00AC493C" w:rsidRDefault="004E2C31">
      <w:pPr>
        <w:spacing w:before="60" w:line="227" w:lineRule="auto"/>
        <w:jc w:val="center"/>
        <w:rPr>
          <w:rFonts w:ascii="Noto Sans" w:eastAsia="Noto Sans" w:hAnsi="Noto Sans" w:cs="Noto Sans"/>
          <w:b/>
          <w:sz w:val="26"/>
          <w:szCs w:val="26"/>
          <w:u w:val="single"/>
          <w:lang w:val="en-GB" w:eastAsia="zh-TW"/>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3502D1A" w:rsidR="00CC33E8" w:rsidRPr="00CC33E8" w:rsidRDefault="00CC33E8" w:rsidP="00CC33E8">
            <w:pPr>
              <w:rPr>
                <w:rFonts w:ascii="Microsoft JhengHei" w:eastAsia="Microsoft JhengHei" w:hAnsi="Microsoft JhengHei" w:cs="Microsoft JhengHei"/>
                <w:bCs/>
                <w:color w:val="434343"/>
                <w:sz w:val="18"/>
                <w:szCs w:val="18"/>
                <w:lang w:val="en-GB" w:eastAsia="zh-TW"/>
              </w:rPr>
            </w:pPr>
            <w:r>
              <w:rPr>
                <w:rFonts w:ascii="Microsoft JhengHei" w:eastAsia="Microsoft JhengHei" w:hAnsi="Microsoft JhengHei" w:cs="Microsoft JhengHei"/>
                <w:bCs/>
                <w:color w:val="434343"/>
                <w:sz w:val="18"/>
                <w:szCs w:val="18"/>
                <w:lang w:val="en-GB" w:eastAsia="zh-TW"/>
              </w:rPr>
              <w:t>v</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9AED357" w:rsidR="00F102CC" w:rsidRPr="00AC493C" w:rsidRDefault="00AC493C">
            <w:pPr>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v</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2EE6654" w:rsidR="00F102CC" w:rsidRPr="003D5AF6" w:rsidRDefault="00AC493C">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ED8876B" w:rsidR="00F102CC" w:rsidRPr="003D5AF6" w:rsidRDefault="00AC493C">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D00B16" w:rsidR="00F102CC" w:rsidRPr="003D5AF6" w:rsidRDefault="00AC493C">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F45FE2B" w:rsidR="00F102CC" w:rsidRPr="003D5AF6" w:rsidRDefault="00AC493C">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3493C9" w:rsidR="00F102CC" w:rsidRPr="003D5AF6" w:rsidRDefault="00AC493C">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164988" w:rsidR="00F102CC" w:rsidRPr="003D5AF6" w:rsidRDefault="00AC493C">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10FB322" w:rsidR="00F102CC" w:rsidRPr="003D5AF6" w:rsidRDefault="00AC493C">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3F90DC" w:rsidR="00F102CC" w:rsidRPr="00AC493C" w:rsidRDefault="00E73514">
            <w:pPr>
              <w:rPr>
                <w:rFonts w:ascii="Noto Sans" w:eastAsia="Noto Sans" w:hAnsi="Noto Sans" w:cs="Noto Sans"/>
                <w:b/>
                <w:color w:val="434343"/>
                <w:sz w:val="18"/>
                <w:szCs w:val="18"/>
                <w:lang w:val="en-GB" w:eastAsia="zh-TW"/>
              </w:rPr>
            </w:pPr>
            <w:r>
              <w:rPr>
                <w:rFonts w:ascii="Noto Sans" w:eastAsia="Noto Sans" w:hAnsi="Noto Sans" w:cs="Noto Sans"/>
                <w:b/>
                <w:color w:val="434343"/>
                <w:sz w:val="18"/>
                <w:szCs w:val="18"/>
                <w:lang w:val="en-GB" w:eastAsia="zh-TW"/>
              </w:rPr>
              <w:t>v</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A5084A" w:rsidR="00F102CC" w:rsidRPr="003D5AF6" w:rsidRDefault="00AC49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3BB37B" w:rsidR="00F102CC" w:rsidRPr="003D5AF6" w:rsidRDefault="00E735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8364CEB" w:rsidR="00F102CC" w:rsidRPr="003D5AF6" w:rsidRDefault="00E735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E73514"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798A746" w:rsidR="00F102CC" w:rsidRPr="00E73514" w:rsidRDefault="00E73514">
            <w:pPr>
              <w:spacing w:line="225" w:lineRule="auto"/>
              <w:rPr>
                <w:rFonts w:ascii="Noto Sans" w:eastAsia="Noto Sans" w:hAnsi="Noto Sans" w:cs="Noto Sans"/>
                <w:bCs/>
                <w:color w:val="434343"/>
                <w:sz w:val="18"/>
                <w:szCs w:val="18"/>
              </w:rPr>
            </w:pPr>
            <w:r w:rsidRPr="00E73514">
              <w:rPr>
                <w:rFonts w:ascii="Noto Sans" w:eastAsia="Noto Sans" w:hAnsi="Noto Sans" w:cs="Noto Sans"/>
                <w:bCs/>
                <w:color w:val="434343"/>
                <w:sz w:val="18"/>
                <w:szCs w:val="18"/>
              </w:rPr>
              <w:t>V</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30238C2" w:rsidR="00F102CC" w:rsidRPr="003D5AF6" w:rsidRDefault="00E735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C17771A" w:rsidR="00F102CC" w:rsidRPr="003D5AF6" w:rsidRDefault="00E735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E12F578" w:rsidR="00F102CC" w:rsidRPr="003D5AF6" w:rsidRDefault="00AC49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85FF1EF" w:rsidR="00F102CC" w:rsidRPr="003D5AF6" w:rsidRDefault="00AC49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2221B" w14:textId="77777777" w:rsidR="00F102CC" w:rsidRDefault="00F102CC">
            <w:pPr>
              <w:spacing w:line="225" w:lineRule="auto"/>
              <w:rPr>
                <w:rFonts w:ascii="Noto Sans" w:eastAsia="Noto Sans" w:hAnsi="Noto Sans" w:cs="Noto Sans"/>
                <w:bCs/>
                <w:color w:val="434343"/>
                <w:sz w:val="18"/>
                <w:szCs w:val="18"/>
              </w:rPr>
            </w:pPr>
          </w:p>
          <w:p w14:paraId="3552EF0B" w14:textId="77777777" w:rsidR="00E73514" w:rsidRDefault="00E73514" w:rsidP="00E73514">
            <w:pPr>
              <w:rPr>
                <w:rFonts w:ascii="Noto Sans" w:eastAsia="Noto Sans" w:hAnsi="Noto Sans" w:cs="Noto Sans"/>
                <w:bCs/>
                <w:color w:val="434343"/>
                <w:sz w:val="18"/>
                <w:szCs w:val="18"/>
              </w:rPr>
            </w:pPr>
          </w:p>
          <w:p w14:paraId="05003A7F" w14:textId="49A95B4D" w:rsidR="00E73514" w:rsidRPr="00E73514" w:rsidRDefault="00E73514" w:rsidP="00E73514">
            <w:pPr>
              <w:rPr>
                <w:rFonts w:ascii="Noto Sans" w:eastAsia="Noto Sans" w:hAnsi="Noto Sans" w:cs="Noto Sans"/>
                <w:sz w:val="18"/>
                <w:szCs w:val="18"/>
              </w:rPr>
            </w:pPr>
            <w:r>
              <w:rPr>
                <w:rFonts w:ascii="Noto Sans" w:eastAsia="Noto Sans" w:hAnsi="Noto Sans" w:cs="Noto Sans"/>
                <w:sz w:val="18"/>
                <w:szCs w:val="18"/>
              </w:rPr>
              <w:t>v</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1207ECE" w:rsidR="00F102CC" w:rsidRPr="003D5AF6" w:rsidRDefault="00E735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88C4280" w:rsidR="00F102CC" w:rsidRPr="003D5AF6" w:rsidRDefault="00E73514">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vv</w:t>
            </w:r>
            <w:proofErr w:type="spellEnd"/>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7DFF4C7" w:rsidR="00F102CC" w:rsidRPr="003D5AF6" w:rsidRDefault="00E735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5BE4CAF" w:rsidR="00F102CC" w:rsidRPr="003D5AF6" w:rsidRDefault="00E735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sidRPr="00160076">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4172B3" w14:textId="48D45DEC" w:rsidR="00F102CC" w:rsidRPr="000E20BD" w:rsidRDefault="00653435" w:rsidP="000E20BD">
            <w:pPr>
              <w:pStyle w:val="ListParagraph"/>
              <w:numPr>
                <w:ilvl w:val="0"/>
                <w:numId w:val="6"/>
              </w:numPr>
              <w:rPr>
                <w:rFonts w:ascii="Noto Sans" w:eastAsia="Noto Sans" w:hAnsi="Noto Sans" w:cs="Noto Sans"/>
                <w:color w:val="434343"/>
                <w:sz w:val="18"/>
                <w:szCs w:val="18"/>
              </w:rPr>
            </w:pPr>
            <w:r w:rsidRPr="000E20BD">
              <w:rPr>
                <w:rFonts w:ascii="Noto Sans" w:eastAsia="Noto Sans" w:hAnsi="Noto Sans" w:cs="Noto Sans"/>
                <w:color w:val="434343"/>
                <w:sz w:val="18"/>
                <w:szCs w:val="18"/>
              </w:rPr>
              <w:t>Pearson correlation test</w:t>
            </w:r>
            <w:r w:rsidR="009F5005" w:rsidRPr="000E20BD">
              <w:rPr>
                <w:rFonts w:ascii="Noto Sans" w:eastAsia="Noto Sans" w:hAnsi="Noto Sans" w:cs="Noto Sans"/>
                <w:color w:val="434343"/>
                <w:sz w:val="18"/>
                <w:szCs w:val="18"/>
              </w:rPr>
              <w:t>: to determine the r and P values</w:t>
            </w:r>
            <w:r w:rsidR="00C004B1" w:rsidRPr="000E20BD">
              <w:rPr>
                <w:rFonts w:ascii="Noto Sans" w:eastAsia="Noto Sans" w:hAnsi="Noto Sans" w:cs="Noto Sans"/>
                <w:color w:val="434343"/>
                <w:sz w:val="18"/>
                <w:szCs w:val="18"/>
              </w:rPr>
              <w:t xml:space="preserve"> (significance</w:t>
            </w:r>
            <w:r w:rsidR="001973B4" w:rsidRPr="000E20BD">
              <w:rPr>
                <w:rFonts w:ascii="Noto Sans" w:eastAsia="Noto Sans" w:hAnsi="Noto Sans" w:cs="Noto Sans"/>
                <w:color w:val="434343"/>
                <w:sz w:val="18"/>
                <w:szCs w:val="18"/>
              </w:rPr>
              <w:t xml:space="preserve">, </w:t>
            </w:r>
            <w:r w:rsidR="00C004B1" w:rsidRPr="000E20BD">
              <w:rPr>
                <w:rFonts w:ascii="Noto Sans" w:eastAsia="Noto Sans" w:hAnsi="Noto Sans" w:cs="Noto Sans"/>
                <w:color w:val="434343"/>
                <w:sz w:val="18"/>
                <w:szCs w:val="18"/>
              </w:rPr>
              <w:t>P value &lt; 0.05)</w:t>
            </w:r>
            <w:r w:rsidR="001973B4" w:rsidRPr="000E20BD">
              <w:rPr>
                <w:rFonts w:ascii="Noto Sans" w:eastAsia="Noto Sans" w:hAnsi="Noto Sans" w:cs="Noto Sans"/>
                <w:color w:val="434343"/>
                <w:sz w:val="18"/>
                <w:szCs w:val="18"/>
              </w:rPr>
              <w:t xml:space="preserve"> in Figure</w:t>
            </w:r>
            <w:r w:rsidR="00CE43A6" w:rsidRPr="000E20BD">
              <w:rPr>
                <w:rFonts w:ascii="Noto Sans" w:eastAsia="Noto Sans" w:hAnsi="Noto Sans" w:cs="Noto Sans"/>
                <w:color w:val="434343"/>
                <w:sz w:val="18"/>
                <w:szCs w:val="18"/>
              </w:rPr>
              <w:t xml:space="preserve"> 2</w:t>
            </w:r>
            <w:r w:rsidR="0052106F" w:rsidRPr="000E20BD">
              <w:rPr>
                <w:rFonts w:ascii="Noto Sans" w:eastAsia="Noto Sans" w:hAnsi="Noto Sans" w:cs="Noto Sans"/>
                <w:color w:val="434343"/>
                <w:sz w:val="18"/>
                <w:szCs w:val="18"/>
              </w:rPr>
              <w:t>, Figure 2-figure supplement 1</w:t>
            </w:r>
            <w:r w:rsidR="006740D6" w:rsidRPr="000E20BD">
              <w:rPr>
                <w:rFonts w:ascii="Noto Sans" w:eastAsia="Noto Sans" w:hAnsi="Noto Sans" w:cs="Noto Sans"/>
                <w:color w:val="434343"/>
                <w:sz w:val="18"/>
                <w:szCs w:val="18"/>
              </w:rPr>
              <w:t>&amp;5</w:t>
            </w:r>
            <w:r w:rsidR="005247EE" w:rsidRPr="000E20BD">
              <w:rPr>
                <w:rFonts w:ascii="Noto Sans" w:eastAsia="Noto Sans" w:hAnsi="Noto Sans" w:cs="Noto Sans"/>
                <w:color w:val="434343"/>
                <w:sz w:val="18"/>
                <w:szCs w:val="18"/>
              </w:rPr>
              <w:t>-6</w:t>
            </w:r>
            <w:r w:rsidR="000E20BD" w:rsidRPr="000E20BD">
              <w:rPr>
                <w:rFonts w:ascii="Noto Sans" w:eastAsia="Noto Sans" w:hAnsi="Noto Sans" w:cs="Noto Sans"/>
                <w:color w:val="434343"/>
                <w:sz w:val="18"/>
                <w:szCs w:val="18"/>
              </w:rPr>
              <w:t>, Figure 5-figure supplement 1-6.</w:t>
            </w:r>
          </w:p>
          <w:p w14:paraId="09BF5A87" w14:textId="1623F0EB" w:rsidR="00653435" w:rsidRPr="000E20BD" w:rsidRDefault="0053147B" w:rsidP="000E20BD">
            <w:pPr>
              <w:pStyle w:val="ListParagraph"/>
              <w:numPr>
                <w:ilvl w:val="0"/>
                <w:numId w:val="6"/>
              </w:numPr>
              <w:rPr>
                <w:rFonts w:ascii="Noto Sans" w:eastAsia="Noto Sans" w:hAnsi="Noto Sans" w:cs="Noto Sans"/>
                <w:color w:val="434343"/>
                <w:sz w:val="18"/>
                <w:szCs w:val="18"/>
              </w:rPr>
            </w:pPr>
            <w:r w:rsidRPr="000E20BD">
              <w:rPr>
                <w:rFonts w:ascii="Noto Sans" w:eastAsia="Noto Sans" w:hAnsi="Noto Sans" w:cs="Noto Sans"/>
                <w:color w:val="434343"/>
                <w:sz w:val="18"/>
                <w:szCs w:val="18"/>
              </w:rPr>
              <w:t>Differential expression</w:t>
            </w:r>
            <w:r w:rsidR="00C011AB" w:rsidRPr="000E20BD">
              <w:rPr>
                <w:rFonts w:ascii="Noto Sans" w:eastAsia="Noto Sans" w:hAnsi="Noto Sans" w:cs="Noto Sans"/>
                <w:color w:val="434343"/>
                <w:sz w:val="18"/>
                <w:szCs w:val="18"/>
              </w:rPr>
              <w:t>: Wilcoxon test is used to determine the significance (P value &lt; 0.05)</w:t>
            </w:r>
            <w:r w:rsidR="00C40B7D" w:rsidRPr="000E20BD">
              <w:rPr>
                <w:rFonts w:ascii="Noto Sans" w:eastAsia="Noto Sans" w:hAnsi="Noto Sans" w:cs="Noto Sans"/>
                <w:color w:val="434343"/>
                <w:sz w:val="18"/>
                <w:szCs w:val="18"/>
              </w:rPr>
              <w:t xml:space="preserve"> in Figure 4</w:t>
            </w:r>
            <w:r w:rsidR="00393ED7" w:rsidRPr="000E20BD">
              <w:rPr>
                <w:rFonts w:ascii="Noto Sans" w:eastAsia="Noto Sans" w:hAnsi="Noto Sans" w:cs="Noto Sans"/>
                <w:color w:val="434343"/>
                <w:sz w:val="18"/>
                <w:szCs w:val="18"/>
              </w:rPr>
              <w:t>-</w:t>
            </w:r>
            <w:r w:rsidR="00C40B7D" w:rsidRPr="000E20BD">
              <w:rPr>
                <w:rFonts w:ascii="Noto Sans" w:eastAsia="Noto Sans" w:hAnsi="Noto Sans" w:cs="Noto Sans"/>
                <w:color w:val="434343"/>
                <w:sz w:val="18"/>
                <w:szCs w:val="18"/>
              </w:rPr>
              <w:t>5</w:t>
            </w:r>
            <w:r w:rsidR="00D012A7" w:rsidRPr="000E20BD">
              <w:rPr>
                <w:rFonts w:ascii="Noto Sans" w:eastAsia="Noto Sans" w:hAnsi="Noto Sans" w:cs="Noto Sans"/>
                <w:color w:val="434343"/>
                <w:sz w:val="18"/>
                <w:szCs w:val="18"/>
              </w:rPr>
              <w:t xml:space="preserve">, Figure 2-figure supplement </w:t>
            </w:r>
            <w:r w:rsidR="006740D6" w:rsidRPr="000E20BD">
              <w:rPr>
                <w:rFonts w:ascii="Noto Sans" w:eastAsia="Noto Sans" w:hAnsi="Noto Sans" w:cs="Noto Sans"/>
                <w:color w:val="434343"/>
                <w:sz w:val="18"/>
                <w:szCs w:val="18"/>
              </w:rPr>
              <w:t>2-4</w:t>
            </w:r>
            <w:r w:rsidR="005247EE" w:rsidRPr="000E20BD">
              <w:rPr>
                <w:rFonts w:ascii="Noto Sans" w:eastAsia="Noto Sans" w:hAnsi="Noto Sans" w:cs="Noto Sans"/>
                <w:color w:val="434343"/>
                <w:sz w:val="18"/>
                <w:szCs w:val="18"/>
              </w:rPr>
              <w:t>&amp;</w:t>
            </w:r>
            <w:r w:rsidR="00393ED7" w:rsidRPr="000E20BD">
              <w:rPr>
                <w:rFonts w:ascii="Noto Sans" w:eastAsia="Noto Sans" w:hAnsi="Noto Sans" w:cs="Noto Sans"/>
                <w:color w:val="434343"/>
                <w:sz w:val="18"/>
                <w:szCs w:val="18"/>
              </w:rPr>
              <w:t>7-8</w:t>
            </w:r>
            <w:r w:rsidR="006D06AC" w:rsidRPr="000E20BD">
              <w:rPr>
                <w:rFonts w:ascii="Noto Sans" w:eastAsia="Noto Sans" w:hAnsi="Noto Sans" w:cs="Noto Sans"/>
                <w:color w:val="434343"/>
                <w:sz w:val="18"/>
                <w:szCs w:val="18"/>
              </w:rPr>
              <w:t>, Figure 4-figure supplement 1-2</w:t>
            </w:r>
            <w:r w:rsidR="000E20BD" w:rsidRPr="000E20BD">
              <w:rPr>
                <w:rFonts w:ascii="Noto Sans" w:eastAsia="Noto Sans" w:hAnsi="Noto Sans" w:cs="Noto Sans"/>
                <w:color w:val="434343"/>
                <w:sz w:val="18"/>
                <w:szCs w:val="18"/>
              </w:rPr>
              <w:t>.</w:t>
            </w:r>
          </w:p>
          <w:p w14:paraId="54E0127B" w14:textId="7BDE141A" w:rsidR="00DE240A" w:rsidRPr="000E20BD" w:rsidRDefault="00DE240A" w:rsidP="000E20BD">
            <w:pPr>
              <w:pStyle w:val="ListParagraph"/>
              <w:numPr>
                <w:ilvl w:val="0"/>
                <w:numId w:val="6"/>
              </w:numPr>
              <w:rPr>
                <w:rFonts w:ascii="Noto Sans" w:eastAsia="Noto Sans" w:hAnsi="Noto Sans" w:cs="Noto Sans"/>
                <w:bCs/>
                <w:color w:val="434343"/>
                <w:sz w:val="18"/>
                <w:szCs w:val="18"/>
                <w:lang w:eastAsia="zh-TW"/>
              </w:rPr>
            </w:pPr>
            <w:r w:rsidRPr="000E20BD">
              <w:rPr>
                <w:rFonts w:ascii="Noto Sans" w:eastAsia="Noto Sans" w:hAnsi="Noto Sans" w:cs="Noto Sans"/>
                <w:color w:val="434343"/>
                <w:sz w:val="18"/>
                <w:szCs w:val="18"/>
              </w:rPr>
              <w:t>Gene Set Variation Analysis (GSVA):</w:t>
            </w:r>
            <w:r w:rsidR="00972EFE" w:rsidRPr="000E20BD">
              <w:rPr>
                <w:rFonts w:ascii="Noto Sans" w:eastAsia="Noto Sans" w:hAnsi="Noto Sans" w:cs="Noto Sans"/>
                <w:color w:val="434343"/>
                <w:sz w:val="18"/>
                <w:szCs w:val="18"/>
              </w:rPr>
              <w:t xml:space="preserve"> to compare </w:t>
            </w:r>
            <w:r w:rsidR="00C004B1" w:rsidRPr="000E20BD">
              <w:rPr>
                <w:rFonts w:ascii="Noto Sans" w:eastAsia="Noto Sans" w:hAnsi="Noto Sans" w:cs="Noto Sans"/>
                <w:color w:val="434343"/>
                <w:sz w:val="18"/>
                <w:szCs w:val="18"/>
              </w:rPr>
              <w:t>groups of low and high RTE expression (log fold change threshold at |logFC| &gt; 0.1, significance threshold at P &lt; 0.05)</w:t>
            </w:r>
            <w:r w:rsidR="00A02AE6" w:rsidRPr="000E20BD">
              <w:rPr>
                <w:rFonts w:ascii="Noto Sans" w:eastAsia="Noto Sans" w:hAnsi="Noto Sans" w:cs="Noto Sans"/>
                <w:color w:val="434343"/>
                <w:sz w:val="18"/>
                <w:szCs w:val="18"/>
              </w:rPr>
              <w:t xml:space="preserve"> in Figure 3</w:t>
            </w:r>
            <w:r w:rsidR="000E20BD" w:rsidRPr="000E20BD">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70C99B4" w:rsidR="00F102CC" w:rsidRPr="003D5AF6" w:rsidRDefault="007B6C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971471D" w:rsidR="00F102CC" w:rsidRPr="003D5AF6" w:rsidRDefault="007B6C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sidRPr="00975A4B">
              <w:rPr>
                <w:rFonts w:ascii="Noto Sans" w:eastAsia="Noto Sans" w:hAnsi="Noto Sans" w:cs="Noto Sans"/>
                <w:color w:val="434343"/>
                <w:sz w:val="18"/>
                <w:szCs w:val="18"/>
              </w:rPr>
              <w:t>If reused data is publicly available provide accession number in repository OR DOI</w:t>
            </w:r>
            <w:r w:rsidR="001B3BCC" w:rsidRPr="00975A4B">
              <w:rPr>
                <w:rFonts w:ascii="Noto Sans" w:eastAsia="Noto Sans" w:hAnsi="Noto Sans" w:cs="Noto Sans"/>
                <w:color w:val="434343"/>
                <w:sz w:val="18"/>
                <w:szCs w:val="18"/>
              </w:rPr>
              <w:t>,</w:t>
            </w:r>
            <w:r w:rsidRPr="00975A4B">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F47EDA" w14:textId="6E41FB0B" w:rsidR="00F102CC" w:rsidRPr="00B36FDA" w:rsidRDefault="00141329" w:rsidP="00141329">
            <w:pPr>
              <w:pStyle w:val="ListParagraph"/>
              <w:numPr>
                <w:ilvl w:val="0"/>
                <w:numId w:val="7"/>
              </w:numPr>
              <w:spacing w:line="225" w:lineRule="auto"/>
              <w:rPr>
                <w:rFonts w:ascii="Noto Sans" w:eastAsia="Noto Sans" w:hAnsi="Noto Sans" w:cs="Noto Sans"/>
                <w:bCs/>
                <w:color w:val="434343"/>
                <w:sz w:val="18"/>
                <w:szCs w:val="18"/>
              </w:rPr>
            </w:pPr>
            <w:r w:rsidRPr="00B36FDA">
              <w:rPr>
                <w:rFonts w:ascii="Noto Sans" w:hAnsi="Noto Sans" w:cs="Noto Sans"/>
                <w:color w:val="000000" w:themeColor="text1"/>
                <w:sz w:val="18"/>
                <w:szCs w:val="18"/>
              </w:rPr>
              <w:t>Multi-Ethnic Study of Atherosclerosis (MESA)</w:t>
            </w:r>
            <w:r w:rsidR="0082563D">
              <w:rPr>
                <w:rFonts w:ascii="Noto Sans" w:hAnsi="Noto Sans" w:cs="Noto Sans"/>
                <w:color w:val="000000" w:themeColor="text1"/>
                <w:sz w:val="18"/>
                <w:szCs w:val="18"/>
              </w:rPr>
              <w:t xml:space="preserve">: GEO accession </w:t>
            </w:r>
            <w:r w:rsidR="0082563D" w:rsidRPr="0082563D">
              <w:rPr>
                <w:rFonts w:ascii="Noto Sans" w:hAnsi="Noto Sans" w:cs="Noto Sans"/>
                <w:color w:val="000000" w:themeColor="text1"/>
                <w:sz w:val="18"/>
                <w:szCs w:val="18"/>
              </w:rPr>
              <w:t>GSE56045</w:t>
            </w:r>
          </w:p>
          <w:p w14:paraId="1EC4F460" w14:textId="7BBDDC74" w:rsidR="001C11F0" w:rsidRPr="00B36FDA" w:rsidRDefault="001C11F0" w:rsidP="00141329">
            <w:pPr>
              <w:pStyle w:val="ListParagraph"/>
              <w:numPr>
                <w:ilvl w:val="0"/>
                <w:numId w:val="7"/>
              </w:numPr>
              <w:spacing w:line="225" w:lineRule="auto"/>
              <w:rPr>
                <w:rFonts w:ascii="Noto Sans" w:eastAsia="Noto Sans" w:hAnsi="Noto Sans" w:cs="Noto Sans"/>
                <w:bCs/>
                <w:color w:val="434343"/>
                <w:sz w:val="18"/>
                <w:szCs w:val="18"/>
                <w:lang w:eastAsia="zh-TW"/>
              </w:rPr>
            </w:pPr>
            <w:r w:rsidRPr="00B36FDA">
              <w:rPr>
                <w:rFonts w:ascii="Noto Sans" w:hAnsi="Noto Sans" w:cs="Noto Sans"/>
                <w:color w:val="000000" w:themeColor="text1"/>
                <w:sz w:val="18"/>
                <w:szCs w:val="18"/>
              </w:rPr>
              <w:t>Grady Trauma Project (GTP)</w:t>
            </w:r>
            <w:r w:rsidR="001D3DFC">
              <w:rPr>
                <w:rFonts w:ascii="Noto Sans" w:hAnsi="Noto Sans" w:cs="Noto Sans"/>
                <w:color w:val="000000" w:themeColor="text1"/>
                <w:sz w:val="18"/>
                <w:szCs w:val="18"/>
                <w:lang w:val="en-GB" w:eastAsia="zh-TW"/>
              </w:rPr>
              <w:t xml:space="preserve">: GEO accession </w:t>
            </w:r>
            <w:r w:rsidR="001D3DFC" w:rsidRPr="001D3DFC">
              <w:rPr>
                <w:rFonts w:ascii="Noto Sans" w:hAnsi="Noto Sans" w:cs="Noto Sans"/>
                <w:color w:val="000000" w:themeColor="text1"/>
                <w:sz w:val="18"/>
                <w:szCs w:val="18"/>
                <w:lang w:val="en-GB" w:eastAsia="zh-TW"/>
              </w:rPr>
              <w:t>GSE58137</w:t>
            </w:r>
          </w:p>
          <w:p w14:paraId="705D1A8B" w14:textId="4D092B9C" w:rsidR="001C11F0" w:rsidRPr="00B36FDA" w:rsidRDefault="00FE60E9" w:rsidP="00141329">
            <w:pPr>
              <w:pStyle w:val="ListParagraph"/>
              <w:numPr>
                <w:ilvl w:val="0"/>
                <w:numId w:val="7"/>
              </w:numPr>
              <w:spacing w:line="225" w:lineRule="auto"/>
              <w:rPr>
                <w:rFonts w:ascii="Noto Sans" w:eastAsia="Noto Sans" w:hAnsi="Noto Sans" w:cs="Noto Sans"/>
                <w:bCs/>
                <w:color w:val="434343"/>
                <w:sz w:val="18"/>
                <w:szCs w:val="18"/>
                <w:lang w:eastAsia="zh-TW"/>
              </w:rPr>
            </w:pPr>
            <w:r w:rsidRPr="00B36FDA">
              <w:rPr>
                <w:rFonts w:ascii="Noto Sans" w:hAnsi="Noto Sans" w:cs="Noto Sans"/>
                <w:color w:val="000000" w:themeColor="text1"/>
                <w:sz w:val="18"/>
                <w:szCs w:val="18"/>
              </w:rPr>
              <w:t>Genetics, Osteoarthritis and Progression (GARP</w:t>
            </w:r>
            <w:r w:rsidRPr="00B36FDA">
              <w:rPr>
                <w:rFonts w:ascii="Noto Sans" w:hAnsi="Noto Sans" w:cs="Noto Sans"/>
                <w:color w:val="000000" w:themeColor="text1"/>
                <w:sz w:val="18"/>
                <w:szCs w:val="18"/>
                <w:lang w:val="en-GB" w:eastAsia="zh-TW"/>
              </w:rPr>
              <w:t>)</w:t>
            </w:r>
            <w:r w:rsidR="00DE3510">
              <w:rPr>
                <w:rFonts w:ascii="Noto Sans" w:hAnsi="Noto Sans" w:cs="Noto Sans"/>
                <w:color w:val="000000" w:themeColor="text1"/>
                <w:sz w:val="18"/>
                <w:szCs w:val="18"/>
                <w:lang w:val="en-GB" w:eastAsia="zh-TW"/>
              </w:rPr>
              <w:t xml:space="preserve">: GEO </w:t>
            </w:r>
            <w:r w:rsidR="00DE3510">
              <w:rPr>
                <w:rFonts w:ascii="Noto Sans" w:hAnsi="Noto Sans" w:cs="Noto Sans"/>
                <w:color w:val="000000" w:themeColor="text1"/>
                <w:sz w:val="18"/>
                <w:szCs w:val="18"/>
                <w:lang w:val="en-GB" w:eastAsia="zh-TW"/>
              </w:rPr>
              <w:lastRenderedPageBreak/>
              <w:t xml:space="preserve">accession </w:t>
            </w:r>
            <w:r w:rsidR="00DE3510" w:rsidRPr="00DE3510">
              <w:rPr>
                <w:rFonts w:ascii="Noto Sans" w:hAnsi="Noto Sans" w:cs="Noto Sans"/>
                <w:color w:val="000000" w:themeColor="text1"/>
                <w:sz w:val="18"/>
                <w:szCs w:val="18"/>
                <w:lang w:val="en-GB" w:eastAsia="zh-TW"/>
              </w:rPr>
              <w:t>GSE48556</w:t>
            </w:r>
          </w:p>
          <w:p w14:paraId="0DA647AD" w14:textId="2E8EA1BA" w:rsidR="00FE60E9" w:rsidRPr="00BF6699" w:rsidRDefault="005A0643" w:rsidP="00141329">
            <w:pPr>
              <w:pStyle w:val="ListParagraph"/>
              <w:numPr>
                <w:ilvl w:val="0"/>
                <w:numId w:val="7"/>
              </w:numPr>
              <w:spacing w:line="225" w:lineRule="auto"/>
              <w:rPr>
                <w:rFonts w:ascii="Noto Sans" w:hAnsi="Noto Sans" w:cs="Noto Sans"/>
                <w:color w:val="000000" w:themeColor="text1"/>
                <w:sz w:val="18"/>
                <w:szCs w:val="18"/>
              </w:rPr>
            </w:pPr>
            <w:r w:rsidRPr="00B36FDA">
              <w:rPr>
                <w:rFonts w:ascii="Noto Sans" w:hAnsi="Noto Sans" w:cs="Noto Sans"/>
                <w:color w:val="000000" w:themeColor="text1"/>
                <w:sz w:val="18"/>
                <w:szCs w:val="18"/>
              </w:rPr>
              <w:t>Swedish Adoption/Twin Study of Aging (SATSA)</w:t>
            </w:r>
            <w:r w:rsidR="00BF6699">
              <w:rPr>
                <w:rFonts w:ascii="Noto Sans" w:hAnsi="Noto Sans" w:cs="Noto Sans"/>
                <w:color w:val="000000" w:themeColor="text1"/>
                <w:sz w:val="18"/>
                <w:szCs w:val="18"/>
              </w:rPr>
              <w:t xml:space="preserve">: </w:t>
            </w:r>
            <w:proofErr w:type="spellStart"/>
            <w:r w:rsidR="00BF6699" w:rsidRPr="00BF6699">
              <w:rPr>
                <w:rFonts w:ascii="Noto Sans" w:hAnsi="Noto Sans" w:cs="Noto Sans"/>
                <w:color w:val="000000" w:themeColor="text1"/>
                <w:sz w:val="18"/>
                <w:szCs w:val="18"/>
              </w:rPr>
              <w:t>ArrayExpress</w:t>
            </w:r>
            <w:proofErr w:type="spellEnd"/>
            <w:r w:rsidR="00BF6699" w:rsidRPr="00BF6699">
              <w:rPr>
                <w:rFonts w:ascii="Noto Sans" w:hAnsi="Noto Sans" w:cs="Noto Sans"/>
                <w:color w:val="000000" w:themeColor="text1"/>
                <w:sz w:val="18"/>
                <w:szCs w:val="18"/>
              </w:rPr>
              <w:t xml:space="preserve"> public accession E-MTAB-7309</w:t>
            </w:r>
          </w:p>
          <w:p w14:paraId="31DCDC3C" w14:textId="7394E3C4" w:rsidR="009D0460" w:rsidRPr="00B36FDA" w:rsidRDefault="009D0460" w:rsidP="00141329">
            <w:pPr>
              <w:pStyle w:val="ListParagraph"/>
              <w:numPr>
                <w:ilvl w:val="0"/>
                <w:numId w:val="7"/>
              </w:numPr>
              <w:spacing w:line="225" w:lineRule="auto"/>
              <w:rPr>
                <w:rFonts w:ascii="Noto Sans" w:eastAsia="Noto Sans" w:hAnsi="Noto Sans" w:cs="Noto Sans"/>
                <w:bCs/>
                <w:color w:val="434343"/>
                <w:sz w:val="18"/>
                <w:szCs w:val="18"/>
                <w:lang w:eastAsia="zh-TW"/>
              </w:rPr>
            </w:pPr>
            <w:r w:rsidRPr="00B36FDA">
              <w:rPr>
                <w:rFonts w:ascii="Noto Sans" w:hAnsi="Noto Sans" w:cs="Noto Sans"/>
                <w:color w:val="000000" w:themeColor="text1"/>
                <w:sz w:val="18"/>
                <w:szCs w:val="18"/>
              </w:rPr>
              <w:t>Brisbane Systems Genetics Study</w:t>
            </w:r>
            <w:r w:rsidR="003420FE" w:rsidRPr="00B36FDA">
              <w:rPr>
                <w:rFonts w:ascii="Noto Sans" w:hAnsi="Noto Sans" w:cs="Noto Sans"/>
                <w:color w:val="000000" w:themeColor="text1"/>
                <w:sz w:val="18"/>
                <w:szCs w:val="18"/>
              </w:rPr>
              <w:t xml:space="preserve"> </w:t>
            </w:r>
            <w:r w:rsidRPr="00B36FDA">
              <w:rPr>
                <w:rFonts w:ascii="Noto Sans" w:hAnsi="Noto Sans" w:cs="Noto Sans"/>
                <w:color w:val="000000" w:themeColor="text1"/>
                <w:sz w:val="18"/>
                <w:szCs w:val="18"/>
              </w:rPr>
              <w:t>(BSGS</w:t>
            </w:r>
            <w:r w:rsidR="00FE78C1">
              <w:rPr>
                <w:rFonts w:ascii="Noto Sans" w:hAnsi="Noto Sans" w:cs="Noto Sans"/>
                <w:color w:val="000000" w:themeColor="text1"/>
                <w:sz w:val="18"/>
                <w:szCs w:val="18"/>
              </w:rPr>
              <w:t xml:space="preserve">): GEO accession </w:t>
            </w:r>
            <w:r w:rsidR="00FE78C1" w:rsidRPr="00FE78C1">
              <w:rPr>
                <w:rFonts w:ascii="Noto Sans" w:hAnsi="Noto Sans" w:cs="Noto Sans"/>
                <w:color w:val="000000" w:themeColor="text1"/>
                <w:sz w:val="18"/>
                <w:szCs w:val="18"/>
              </w:rPr>
              <w:t>GSE56105</w:t>
            </w:r>
          </w:p>
          <w:p w14:paraId="23FCB25D" w14:textId="65ECC665" w:rsidR="009D0460" w:rsidRPr="00B36FDA" w:rsidRDefault="004E53CE" w:rsidP="00141329">
            <w:pPr>
              <w:pStyle w:val="ListParagraph"/>
              <w:numPr>
                <w:ilvl w:val="0"/>
                <w:numId w:val="7"/>
              </w:numPr>
              <w:spacing w:line="225" w:lineRule="auto"/>
              <w:rPr>
                <w:rFonts w:ascii="Noto Sans" w:eastAsia="Noto Sans" w:hAnsi="Noto Sans" w:cs="Noto Sans"/>
                <w:bCs/>
                <w:color w:val="434343"/>
                <w:sz w:val="18"/>
                <w:szCs w:val="18"/>
                <w:lang w:eastAsia="zh-TW"/>
              </w:rPr>
            </w:pPr>
            <w:r w:rsidRPr="00B36FDA">
              <w:rPr>
                <w:rFonts w:ascii="Noto Sans" w:hAnsi="Noto Sans" w:cs="Noto Sans"/>
                <w:color w:val="000000" w:themeColor="text1"/>
                <w:sz w:val="18"/>
                <w:szCs w:val="18"/>
              </w:rPr>
              <w:t xml:space="preserve">Genome-wide Methylation Profiles Reveal Quantitative Views of Human Aging </w:t>
            </w:r>
            <w:proofErr w:type="gramStart"/>
            <w:r w:rsidRPr="00B36FDA">
              <w:rPr>
                <w:rFonts w:ascii="Noto Sans" w:hAnsi="Noto Sans" w:cs="Noto Sans"/>
                <w:color w:val="000000" w:themeColor="text1"/>
                <w:sz w:val="18"/>
                <w:szCs w:val="18"/>
              </w:rPr>
              <w:t>Rates</w:t>
            </w:r>
            <w:r w:rsidR="003420FE">
              <w:rPr>
                <w:rFonts w:ascii="Noto Sans" w:hAnsi="Noto Sans" w:cs="Noto Sans"/>
                <w:color w:val="000000" w:themeColor="text1"/>
                <w:sz w:val="18"/>
                <w:szCs w:val="18"/>
              </w:rPr>
              <w:t xml:space="preserve"> </w:t>
            </w:r>
            <w:r w:rsidR="003420FE" w:rsidRPr="00B36FDA">
              <w:rPr>
                <w:rFonts w:ascii="Noto Sans" w:hAnsi="Noto Sans" w:cs="Noto Sans"/>
                <w:color w:val="000000" w:themeColor="text1"/>
                <w:sz w:val="18"/>
                <w:szCs w:val="18"/>
              </w:rPr>
              <w:t xml:space="preserve"> </w:t>
            </w:r>
            <w:r w:rsidRPr="00B36FDA">
              <w:rPr>
                <w:rFonts w:ascii="Noto Sans" w:hAnsi="Noto Sans" w:cs="Noto Sans"/>
                <w:color w:val="000000" w:themeColor="text1"/>
                <w:sz w:val="18"/>
                <w:szCs w:val="18"/>
              </w:rPr>
              <w:t>(</w:t>
            </w:r>
            <w:proofErr w:type="gramEnd"/>
            <w:r w:rsidRPr="00B36FDA">
              <w:rPr>
                <w:rFonts w:ascii="Noto Sans" w:hAnsi="Noto Sans" w:cs="Noto Sans"/>
                <w:color w:val="000000" w:themeColor="text1"/>
                <w:sz w:val="18"/>
                <w:szCs w:val="18"/>
              </w:rPr>
              <w:t>GMPWAR</w:t>
            </w:r>
            <w:r w:rsidR="00902813">
              <w:rPr>
                <w:rFonts w:ascii="Noto Sans" w:hAnsi="Noto Sans" w:cs="Noto Sans"/>
                <w:color w:val="000000" w:themeColor="text1"/>
                <w:sz w:val="18"/>
                <w:szCs w:val="18"/>
              </w:rPr>
              <w:t>)</w:t>
            </w:r>
            <w:r w:rsidR="003420FE">
              <w:rPr>
                <w:rFonts w:ascii="Noto Sans" w:hAnsi="Noto Sans" w:cs="Noto Sans"/>
                <w:color w:val="000000" w:themeColor="text1"/>
                <w:sz w:val="18"/>
                <w:szCs w:val="18"/>
              </w:rPr>
              <w:t xml:space="preserve">: </w:t>
            </w:r>
            <w:r w:rsidR="003420FE" w:rsidRPr="003420FE">
              <w:rPr>
                <w:rFonts w:ascii="Noto Sans" w:hAnsi="Noto Sans" w:cs="Noto Sans"/>
                <w:color w:val="000000" w:themeColor="text1"/>
                <w:sz w:val="18"/>
                <w:szCs w:val="18"/>
              </w:rPr>
              <w:t xml:space="preserve">GEO </w:t>
            </w:r>
            <w:r w:rsidR="003420FE">
              <w:rPr>
                <w:rFonts w:ascii="Noto Sans" w:hAnsi="Noto Sans" w:cs="Noto Sans"/>
                <w:color w:val="000000" w:themeColor="text1"/>
                <w:sz w:val="18"/>
                <w:szCs w:val="18"/>
              </w:rPr>
              <w:t xml:space="preserve">accession </w:t>
            </w:r>
            <w:r w:rsidR="003420FE" w:rsidRPr="003420FE">
              <w:rPr>
                <w:rFonts w:ascii="Noto Sans" w:hAnsi="Noto Sans" w:cs="Noto Sans"/>
                <w:color w:val="000000" w:themeColor="text1"/>
                <w:sz w:val="18"/>
                <w:szCs w:val="18"/>
              </w:rPr>
              <w:t>GSE40279</w:t>
            </w:r>
          </w:p>
          <w:p w14:paraId="71B0552F" w14:textId="7F67CB93" w:rsidR="00E96220" w:rsidRPr="00B36FDA" w:rsidRDefault="009804FF" w:rsidP="00141329">
            <w:pPr>
              <w:pStyle w:val="ListParagraph"/>
              <w:numPr>
                <w:ilvl w:val="0"/>
                <w:numId w:val="7"/>
              </w:numPr>
              <w:spacing w:line="225" w:lineRule="auto"/>
              <w:rPr>
                <w:rFonts w:ascii="Noto Sans" w:eastAsia="Noto Sans" w:hAnsi="Noto Sans" w:cs="Noto Sans"/>
                <w:bCs/>
                <w:color w:val="434343"/>
                <w:sz w:val="18"/>
                <w:szCs w:val="18"/>
                <w:lang w:eastAsia="zh-TW"/>
              </w:rPr>
            </w:pPr>
            <w:proofErr w:type="spellStart"/>
            <w:r w:rsidRPr="00B36FDA">
              <w:rPr>
                <w:rFonts w:ascii="Noto Sans" w:hAnsi="Noto Sans" w:cs="Noto Sans"/>
                <w:color w:val="000000" w:themeColor="text1"/>
                <w:sz w:val="18"/>
                <w:szCs w:val="18"/>
              </w:rPr>
              <w:t>scRNA</w:t>
            </w:r>
            <w:proofErr w:type="spellEnd"/>
            <w:r w:rsidRPr="00B36FDA">
              <w:rPr>
                <w:rFonts w:ascii="Noto Sans" w:hAnsi="Noto Sans" w:cs="Noto Sans"/>
                <w:color w:val="000000" w:themeColor="text1"/>
                <w:sz w:val="18"/>
                <w:szCs w:val="18"/>
              </w:rPr>
              <w:t>-seq data of the PBMCs of 21 non-obese healthy men</w:t>
            </w:r>
            <w:r w:rsidR="00902813">
              <w:rPr>
                <w:rFonts w:ascii="Noto Sans" w:hAnsi="Noto Sans" w:cs="Noto Sans"/>
                <w:color w:val="000000" w:themeColor="text1"/>
                <w:sz w:val="18"/>
                <w:szCs w:val="18"/>
              </w:rPr>
              <w:t>:</w:t>
            </w:r>
            <w:r w:rsidR="00902813" w:rsidRPr="005A1AD7">
              <w:rPr>
                <w:noProof/>
                <w:color w:val="000000" w:themeColor="text1"/>
              </w:rPr>
              <w:t xml:space="preserve"> Mogilenko, D. A.</w:t>
            </w:r>
            <w:r w:rsidR="00902813" w:rsidRPr="005A1AD7">
              <w:rPr>
                <w:i/>
                <w:noProof/>
                <w:color w:val="000000" w:themeColor="text1"/>
              </w:rPr>
              <w:t xml:space="preserve"> et al.</w:t>
            </w:r>
            <w:r w:rsidR="00902813" w:rsidRPr="005A1AD7">
              <w:rPr>
                <w:noProof/>
                <w:color w:val="000000" w:themeColor="text1"/>
              </w:rPr>
              <w:t xml:space="preserve"> Comprehensive Profiling of an Aging Immune System Reveals Clonal GZMK(+) CD8(+) T Cells as Conserved Hallmark of Inflammaging. </w:t>
            </w:r>
            <w:r w:rsidR="00902813" w:rsidRPr="005A1AD7">
              <w:rPr>
                <w:i/>
                <w:noProof/>
                <w:color w:val="000000" w:themeColor="text1"/>
              </w:rPr>
              <w:t>Immunity</w:t>
            </w:r>
            <w:r w:rsidR="00902813" w:rsidRPr="005A1AD7">
              <w:rPr>
                <w:noProof/>
                <w:color w:val="000000" w:themeColor="text1"/>
              </w:rPr>
              <w:t xml:space="preserve"> </w:t>
            </w:r>
            <w:r w:rsidR="00902813" w:rsidRPr="005A1AD7">
              <w:rPr>
                <w:b/>
                <w:noProof/>
                <w:color w:val="000000" w:themeColor="text1"/>
              </w:rPr>
              <w:t>54</w:t>
            </w:r>
            <w:r w:rsidR="00902813" w:rsidRPr="005A1AD7">
              <w:rPr>
                <w:noProof/>
                <w:color w:val="000000" w:themeColor="text1"/>
              </w:rPr>
              <w:t xml:space="preserve">, 99-115 e112 (2021). </w:t>
            </w:r>
            <w:hyperlink r:id="rId14" w:history="1">
              <w:r w:rsidR="00902813" w:rsidRPr="005A1AD7">
                <w:rPr>
                  <w:rStyle w:val="Hyperlink"/>
                  <w:noProof/>
                  <w:color w:val="000000" w:themeColor="text1"/>
                </w:rPr>
                <w:t>https://doi.org:10.1016/j.immuni.2020.11.005</w:t>
              </w:r>
            </w:hyperlink>
          </w:p>
          <w:p w14:paraId="729C2F2F" w14:textId="36D8B2A9" w:rsidR="009804FF" w:rsidRPr="00B36FDA" w:rsidRDefault="00E96220" w:rsidP="00141329">
            <w:pPr>
              <w:pStyle w:val="ListParagraph"/>
              <w:numPr>
                <w:ilvl w:val="0"/>
                <w:numId w:val="7"/>
              </w:numPr>
              <w:spacing w:line="225" w:lineRule="auto"/>
              <w:rPr>
                <w:rFonts w:ascii="Noto Sans" w:eastAsia="Noto Sans" w:hAnsi="Noto Sans" w:cs="Noto Sans"/>
                <w:bCs/>
                <w:color w:val="434343"/>
                <w:sz w:val="18"/>
                <w:szCs w:val="18"/>
                <w:lang w:eastAsia="zh-TW"/>
              </w:rPr>
            </w:pPr>
            <w:r w:rsidRPr="00B36FDA">
              <w:rPr>
                <w:rFonts w:ascii="Noto Sans" w:hAnsi="Noto Sans" w:cs="Noto Sans"/>
                <w:color w:val="000000" w:themeColor="text1"/>
                <w:sz w:val="18"/>
                <w:szCs w:val="18"/>
              </w:rPr>
              <w:t>RNA-seq data on healthy human PBMC</w:t>
            </w:r>
            <w:r w:rsidR="00DA7780">
              <w:rPr>
                <w:rFonts w:ascii="Noto Sans" w:hAnsi="Noto Sans" w:cs="Noto Sans"/>
                <w:color w:val="000000" w:themeColor="text1"/>
                <w:sz w:val="18"/>
                <w:szCs w:val="18"/>
              </w:rPr>
              <w:t xml:space="preserve">: </w:t>
            </w:r>
            <w:proofErr w:type="spellStart"/>
            <w:r w:rsidR="00DA7780" w:rsidRPr="00DA7780">
              <w:rPr>
                <w:rFonts w:ascii="Noto Sans" w:hAnsi="Noto Sans" w:cs="Noto Sans"/>
                <w:color w:val="000000" w:themeColor="text1"/>
                <w:sz w:val="18"/>
                <w:szCs w:val="18"/>
              </w:rPr>
              <w:t>scATAC</w:t>
            </w:r>
            <w:proofErr w:type="spellEnd"/>
            <w:r w:rsidR="00DA7780" w:rsidRPr="00DA7780">
              <w:rPr>
                <w:rFonts w:ascii="Noto Sans" w:hAnsi="Noto Sans" w:cs="Noto Sans"/>
                <w:color w:val="000000" w:themeColor="text1"/>
                <w:sz w:val="18"/>
                <w:szCs w:val="18"/>
              </w:rPr>
              <w:t>-seq data are available at https://www.synapse.org repository (syn22255433)</w:t>
            </w:r>
          </w:p>
          <w:p w14:paraId="2BF0859A" w14:textId="6FBC5F12" w:rsidR="0030580C" w:rsidRPr="00B36FDA" w:rsidRDefault="0030580C" w:rsidP="00141329">
            <w:pPr>
              <w:pStyle w:val="ListParagraph"/>
              <w:numPr>
                <w:ilvl w:val="0"/>
                <w:numId w:val="7"/>
              </w:numPr>
              <w:spacing w:line="225" w:lineRule="auto"/>
              <w:rPr>
                <w:rFonts w:ascii="Noto Sans" w:eastAsia="Noto Sans" w:hAnsi="Noto Sans" w:cs="Noto Sans"/>
                <w:bCs/>
                <w:color w:val="434343"/>
                <w:sz w:val="18"/>
                <w:szCs w:val="18"/>
                <w:lang w:eastAsia="zh-TW"/>
              </w:rPr>
            </w:pPr>
            <w:proofErr w:type="spellStart"/>
            <w:r w:rsidRPr="00B36FDA">
              <w:rPr>
                <w:rFonts w:ascii="Noto Sans" w:hAnsi="Noto Sans" w:cs="Noto Sans"/>
                <w:color w:val="000000" w:themeColor="text1"/>
                <w:sz w:val="18"/>
                <w:szCs w:val="18"/>
              </w:rPr>
              <w:t>scRNA</w:t>
            </w:r>
            <w:proofErr w:type="spellEnd"/>
            <w:r w:rsidRPr="00B36FDA">
              <w:rPr>
                <w:rFonts w:ascii="Noto Sans" w:hAnsi="Noto Sans" w:cs="Noto Sans"/>
                <w:color w:val="000000" w:themeColor="text1"/>
                <w:sz w:val="18"/>
                <w:szCs w:val="18"/>
              </w:rPr>
              <w:t>-seq data of the PBMCs of supercentenarians</w:t>
            </w:r>
            <w:r w:rsidR="00B36FDA" w:rsidRPr="00B36FDA">
              <w:rPr>
                <w:rFonts w:ascii="Noto Sans" w:hAnsi="Noto Sans" w:cs="Noto Sans"/>
                <w:color w:val="000000" w:themeColor="text1"/>
                <w:sz w:val="18"/>
                <w:szCs w:val="18"/>
              </w:rPr>
              <w:t xml:space="preserve">: </w:t>
            </w:r>
            <w:r w:rsidR="00B36FDA" w:rsidRPr="00B36FDA">
              <w:rPr>
                <w:rFonts w:ascii="Noto Sans" w:hAnsi="Noto Sans" w:cs="Noto Sans"/>
                <w:noProof/>
                <w:color w:val="000000" w:themeColor="text1"/>
                <w:sz w:val="18"/>
                <w:szCs w:val="18"/>
              </w:rPr>
              <w:t>Hashimoto, K.</w:t>
            </w:r>
            <w:r w:rsidR="00B36FDA" w:rsidRPr="00B36FDA">
              <w:rPr>
                <w:rFonts w:ascii="Noto Sans" w:hAnsi="Noto Sans" w:cs="Noto Sans"/>
                <w:i/>
                <w:noProof/>
                <w:color w:val="000000" w:themeColor="text1"/>
                <w:sz w:val="18"/>
                <w:szCs w:val="18"/>
              </w:rPr>
              <w:t xml:space="preserve"> et al.</w:t>
            </w:r>
            <w:r w:rsidR="00B36FDA" w:rsidRPr="00B36FDA">
              <w:rPr>
                <w:rFonts w:ascii="Noto Sans" w:hAnsi="Noto Sans" w:cs="Noto Sans"/>
                <w:noProof/>
                <w:color w:val="000000" w:themeColor="text1"/>
                <w:sz w:val="18"/>
                <w:szCs w:val="18"/>
              </w:rPr>
              <w:t xml:space="preserve"> Single-cell transcriptomics reveals expansion of cytotoxic CD4 T cells in supercentenarians. </w:t>
            </w:r>
            <w:r w:rsidR="00B36FDA" w:rsidRPr="00B36FDA">
              <w:rPr>
                <w:rFonts w:ascii="Noto Sans" w:hAnsi="Noto Sans" w:cs="Noto Sans"/>
                <w:i/>
                <w:noProof/>
                <w:color w:val="000000" w:themeColor="text1"/>
                <w:sz w:val="18"/>
                <w:szCs w:val="18"/>
              </w:rPr>
              <w:t>Proc Natl Acad Sci U S A</w:t>
            </w:r>
            <w:r w:rsidR="00B36FDA" w:rsidRPr="00B36FDA">
              <w:rPr>
                <w:rFonts w:ascii="Noto Sans" w:hAnsi="Noto Sans" w:cs="Noto Sans"/>
                <w:noProof/>
                <w:color w:val="000000" w:themeColor="text1"/>
                <w:sz w:val="18"/>
                <w:szCs w:val="18"/>
              </w:rPr>
              <w:t xml:space="preserve"> </w:t>
            </w:r>
            <w:r w:rsidR="00B36FDA" w:rsidRPr="00B36FDA">
              <w:rPr>
                <w:rFonts w:ascii="Noto Sans" w:hAnsi="Noto Sans" w:cs="Noto Sans"/>
                <w:b/>
                <w:noProof/>
                <w:color w:val="000000" w:themeColor="text1"/>
                <w:sz w:val="18"/>
                <w:szCs w:val="18"/>
              </w:rPr>
              <w:t>116</w:t>
            </w:r>
            <w:r w:rsidR="00B36FDA" w:rsidRPr="00B36FDA">
              <w:rPr>
                <w:rFonts w:ascii="Noto Sans" w:hAnsi="Noto Sans" w:cs="Noto Sans"/>
                <w:noProof/>
                <w:color w:val="000000" w:themeColor="text1"/>
                <w:sz w:val="18"/>
                <w:szCs w:val="18"/>
              </w:rPr>
              <w:t xml:space="preserve">, 24242-24251 (2019). </w:t>
            </w:r>
            <w:hyperlink r:id="rId15" w:history="1">
              <w:r w:rsidR="00B36FDA" w:rsidRPr="00B36FDA">
                <w:rPr>
                  <w:rStyle w:val="Hyperlink"/>
                  <w:rFonts w:ascii="Noto Sans" w:hAnsi="Noto Sans" w:cs="Noto Sans"/>
                  <w:noProof/>
                  <w:color w:val="000000" w:themeColor="text1"/>
                  <w:sz w:val="18"/>
                  <w:szCs w:val="18"/>
                </w:rPr>
                <w:t>https://doi.org:10.1073/pnas.1907883116</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975A4B" w:rsidRDefault="00427975">
            <w:pPr>
              <w:rPr>
                <w:rFonts w:ascii="Noto Sans" w:eastAsia="Noto Sans" w:hAnsi="Noto Sans" w:cs="Noto Sans"/>
                <w:color w:val="434343"/>
                <w:sz w:val="18"/>
                <w:szCs w:val="18"/>
              </w:rPr>
            </w:pPr>
            <w:r w:rsidRPr="00975A4B">
              <w:rPr>
                <w:rFonts w:ascii="Noto Sans" w:eastAsia="Noto Sans" w:hAnsi="Noto Sans" w:cs="Noto Sans"/>
                <w:color w:val="434343"/>
                <w:sz w:val="18"/>
                <w:szCs w:val="18"/>
              </w:rPr>
              <w:t xml:space="preserve">For </w:t>
            </w:r>
            <w:r w:rsidR="005B0259" w:rsidRPr="00975A4B">
              <w:rPr>
                <w:rFonts w:ascii="Noto Sans" w:eastAsia="Noto Sans" w:hAnsi="Noto Sans" w:cs="Noto Sans"/>
                <w:color w:val="434343"/>
                <w:sz w:val="18"/>
                <w:szCs w:val="18"/>
              </w:rPr>
              <w:t xml:space="preserve">any </w:t>
            </w:r>
            <w:r w:rsidRPr="00975A4B">
              <w:rPr>
                <w:rFonts w:ascii="Noto Sans" w:eastAsia="Noto Sans" w:hAnsi="Noto Sans" w:cs="Noto Sans"/>
                <w:color w:val="434343"/>
                <w:sz w:val="18"/>
                <w:szCs w:val="18"/>
              </w:rPr>
              <w:t>computer code/software/mathematical algorithm</w:t>
            </w:r>
            <w:r w:rsidR="005B0259" w:rsidRPr="00975A4B">
              <w:rPr>
                <w:rFonts w:ascii="Noto Sans" w:eastAsia="Noto Sans" w:hAnsi="Noto Sans" w:cs="Noto Sans"/>
                <w:color w:val="434343"/>
                <w:sz w:val="18"/>
                <w:szCs w:val="18"/>
              </w:rPr>
              <w:t>s</w:t>
            </w:r>
            <w:r w:rsidRPr="00975A4B">
              <w:rPr>
                <w:rFonts w:ascii="Noto Sans" w:eastAsia="Noto Sans" w:hAnsi="Noto Sans" w:cs="Noto Sans"/>
                <w:color w:val="434343"/>
                <w:sz w:val="18"/>
                <w:szCs w:val="18"/>
              </w:rPr>
              <w:t xml:space="preserve"> essential for replicating the main findings of the study, </w:t>
            </w:r>
            <w:r w:rsidR="005B0259" w:rsidRPr="00975A4B">
              <w:rPr>
                <w:rFonts w:ascii="Noto Sans" w:eastAsia="Noto Sans" w:hAnsi="Noto Sans" w:cs="Noto Sans"/>
                <w:color w:val="434343"/>
                <w:sz w:val="18"/>
                <w:szCs w:val="18"/>
              </w:rPr>
              <w:t xml:space="preserve">whether newly generated or re-used, </w:t>
            </w:r>
            <w:r w:rsidRPr="00975A4B">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47553" w14:textId="77777777" w:rsidR="00F102CC" w:rsidRDefault="00F102CC">
            <w:pPr>
              <w:spacing w:line="225" w:lineRule="auto"/>
              <w:rPr>
                <w:rFonts w:ascii="Noto Sans" w:eastAsia="Noto Sans" w:hAnsi="Noto Sans" w:cs="Noto Sans"/>
                <w:bCs/>
                <w:color w:val="434343"/>
                <w:sz w:val="18"/>
                <w:szCs w:val="18"/>
              </w:rPr>
            </w:pPr>
          </w:p>
          <w:p w14:paraId="34AC196A" w14:textId="2F45EB4F" w:rsidR="003C1562" w:rsidRPr="003C1562" w:rsidRDefault="00C0089B" w:rsidP="003C1562">
            <w:pPr>
              <w:rPr>
                <w:rFonts w:ascii="Noto Sans" w:eastAsia="Noto Sans" w:hAnsi="Noto Sans" w:cs="Noto Sans"/>
                <w:sz w:val="18"/>
                <w:szCs w:val="18"/>
              </w:rPr>
            </w:pPr>
            <w:r>
              <w:rPr>
                <w:rFonts w:ascii="Noto Sans" w:eastAsia="Noto Sans" w:hAnsi="Noto Sans" w:cs="Noto Sans"/>
                <w:sz w:val="18"/>
                <w:szCs w:val="18"/>
              </w:rPr>
              <w:t>R programming software</w:t>
            </w:r>
          </w:p>
          <w:p w14:paraId="47FEA0E7" w14:textId="77777777" w:rsidR="003C1562" w:rsidRDefault="003C1562" w:rsidP="003C1562">
            <w:pPr>
              <w:rPr>
                <w:rFonts w:ascii="Noto Sans" w:eastAsia="Noto Sans" w:hAnsi="Noto Sans" w:cs="Noto Sans"/>
                <w:bCs/>
                <w:color w:val="434343"/>
                <w:sz w:val="18"/>
                <w:szCs w:val="18"/>
              </w:rPr>
            </w:pPr>
          </w:p>
          <w:p w14:paraId="5BB52AB8" w14:textId="77777777" w:rsidR="003C1562" w:rsidRPr="003C1562" w:rsidRDefault="003C1562" w:rsidP="003C1562">
            <w:pPr>
              <w:jc w:val="center"/>
              <w:rPr>
                <w:rFonts w:ascii="Noto Sans" w:eastAsia="Noto Sans" w:hAnsi="Noto Sans" w:cs="Noto San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975A4B" w:rsidRDefault="005B0259">
            <w:pPr>
              <w:rPr>
                <w:rFonts w:ascii="Noto Sans" w:eastAsia="Noto Sans" w:hAnsi="Noto Sans" w:cs="Noto Sans"/>
                <w:color w:val="434343"/>
                <w:sz w:val="18"/>
                <w:szCs w:val="18"/>
              </w:rPr>
            </w:pPr>
            <w:r w:rsidRPr="00975A4B">
              <w:rPr>
                <w:rFonts w:ascii="Noto Sans" w:eastAsia="Noto Sans" w:hAnsi="Noto Sans" w:cs="Noto Sans"/>
                <w:color w:val="434343"/>
                <w:sz w:val="18"/>
                <w:szCs w:val="18"/>
              </w:rPr>
              <w:t>Where</w:t>
            </w:r>
            <w:r w:rsidR="00427975" w:rsidRPr="00975A4B">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975A4B">
              <w:rPr>
                <w:rFonts w:ascii="Noto Sans" w:eastAsia="Noto Sans" w:hAnsi="Noto Sans" w:cs="Noto Sans"/>
                <w:color w:val="434343"/>
                <w:sz w:val="18"/>
                <w:szCs w:val="18"/>
              </w:rPr>
              <w:t>where</w:t>
            </w:r>
            <w:proofErr w:type="spellEnd"/>
            <w:r w:rsidR="00427975" w:rsidRPr="00975A4B">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D975C5C" w:rsidR="00F102CC" w:rsidRPr="00975A4B" w:rsidRDefault="00000000">
            <w:pPr>
              <w:spacing w:line="225" w:lineRule="auto"/>
              <w:rPr>
                <w:rFonts w:ascii="Noto Sans" w:eastAsia="Noto Sans" w:hAnsi="Noto Sans" w:cs="Noto Sans"/>
                <w:bCs/>
                <w:color w:val="434343"/>
                <w:sz w:val="18"/>
                <w:szCs w:val="18"/>
              </w:rPr>
            </w:pPr>
            <w:hyperlink r:id="rId16" w:tgtFrame="_blank" w:tooltip="https://github.com/karimi-lab/te_aging_manuscript" w:history="1">
              <w:r w:rsidR="00CE43A6" w:rsidRPr="00975A4B">
                <w:rPr>
                  <w:rStyle w:val="Hyperlink"/>
                  <w:rFonts w:ascii="Noto Sans" w:hAnsi="Noto Sans" w:cs="Noto Sans"/>
                  <w:color w:val="000000" w:themeColor="text1"/>
                  <w:sz w:val="18"/>
                  <w:szCs w:val="18"/>
                </w:rPr>
                <w:t>https://github.com/Karimi-Lab/TE_aging_manuscript</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BFB3377" w:rsidR="00F102CC" w:rsidRPr="003D5AF6" w:rsidRDefault="003C1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EF218FF" w:rsidR="00F102CC" w:rsidRPr="003D5AF6" w:rsidRDefault="003C1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840D4">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BF82A" w14:textId="77777777" w:rsidR="00E840D4" w:rsidRDefault="00E840D4">
      <w:r>
        <w:separator/>
      </w:r>
    </w:p>
  </w:endnote>
  <w:endnote w:type="continuationSeparator" w:id="0">
    <w:p w14:paraId="113CA511" w14:textId="77777777" w:rsidR="00E840D4" w:rsidRDefault="00E8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95154" w14:textId="77777777" w:rsidR="00E840D4" w:rsidRDefault="00E840D4">
      <w:r>
        <w:separator/>
      </w:r>
    </w:p>
  </w:footnote>
  <w:footnote w:type="continuationSeparator" w:id="0">
    <w:p w14:paraId="15297101" w14:textId="77777777" w:rsidR="00E840D4" w:rsidRDefault="00E84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B0B0B"/>
    <w:multiLevelType w:val="hybridMultilevel"/>
    <w:tmpl w:val="8DDE0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C90E61"/>
    <w:multiLevelType w:val="hybridMultilevel"/>
    <w:tmpl w:val="8EEA0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C026BE"/>
    <w:multiLevelType w:val="hybridMultilevel"/>
    <w:tmpl w:val="1B0CF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5"/>
  </w:num>
  <w:num w:numId="2" w16cid:durableId="81417975">
    <w:abstractNumId w:val="2"/>
  </w:num>
  <w:num w:numId="3" w16cid:durableId="14818306">
    <w:abstractNumId w:val="3"/>
  </w:num>
  <w:num w:numId="4" w16cid:durableId="1349287789">
    <w:abstractNumId w:val="6"/>
  </w:num>
  <w:num w:numId="5" w16cid:durableId="154541968">
    <w:abstractNumId w:val="0"/>
  </w:num>
  <w:num w:numId="6" w16cid:durableId="1291784234">
    <w:abstractNumId w:val="4"/>
  </w:num>
  <w:num w:numId="7" w16cid:durableId="2043358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3F85"/>
    <w:rsid w:val="000E20BD"/>
    <w:rsid w:val="00141329"/>
    <w:rsid w:val="00160076"/>
    <w:rsid w:val="001973B4"/>
    <w:rsid w:val="001B3BCC"/>
    <w:rsid w:val="001C11F0"/>
    <w:rsid w:val="001D3DFC"/>
    <w:rsid w:val="002209A8"/>
    <w:rsid w:val="0030580C"/>
    <w:rsid w:val="003420FE"/>
    <w:rsid w:val="00393ED7"/>
    <w:rsid w:val="003C1562"/>
    <w:rsid w:val="003D5AF6"/>
    <w:rsid w:val="003F57B3"/>
    <w:rsid w:val="00400C53"/>
    <w:rsid w:val="00427975"/>
    <w:rsid w:val="004E2C31"/>
    <w:rsid w:val="004E53CE"/>
    <w:rsid w:val="0052106F"/>
    <w:rsid w:val="005247EE"/>
    <w:rsid w:val="0053147B"/>
    <w:rsid w:val="005A0643"/>
    <w:rsid w:val="005B0259"/>
    <w:rsid w:val="00653435"/>
    <w:rsid w:val="00664266"/>
    <w:rsid w:val="006740D6"/>
    <w:rsid w:val="006D06AC"/>
    <w:rsid w:val="007054B6"/>
    <w:rsid w:val="0078687E"/>
    <w:rsid w:val="007B6C68"/>
    <w:rsid w:val="007F78AD"/>
    <w:rsid w:val="0082563D"/>
    <w:rsid w:val="00902813"/>
    <w:rsid w:val="00972EFE"/>
    <w:rsid w:val="00975A4B"/>
    <w:rsid w:val="009804FF"/>
    <w:rsid w:val="009C7B26"/>
    <w:rsid w:val="009D0460"/>
    <w:rsid w:val="009E2594"/>
    <w:rsid w:val="009F5005"/>
    <w:rsid w:val="00A02AE6"/>
    <w:rsid w:val="00A11E52"/>
    <w:rsid w:val="00AC493C"/>
    <w:rsid w:val="00B2483D"/>
    <w:rsid w:val="00B36FDA"/>
    <w:rsid w:val="00BD41E9"/>
    <w:rsid w:val="00BF6699"/>
    <w:rsid w:val="00C004B1"/>
    <w:rsid w:val="00C0089B"/>
    <w:rsid w:val="00C011AB"/>
    <w:rsid w:val="00C40B7D"/>
    <w:rsid w:val="00C84413"/>
    <w:rsid w:val="00CC33E8"/>
    <w:rsid w:val="00CE43A6"/>
    <w:rsid w:val="00D012A7"/>
    <w:rsid w:val="00DA7780"/>
    <w:rsid w:val="00DE240A"/>
    <w:rsid w:val="00DE3510"/>
    <w:rsid w:val="00E73514"/>
    <w:rsid w:val="00E840D4"/>
    <w:rsid w:val="00E96220"/>
    <w:rsid w:val="00EB1710"/>
    <w:rsid w:val="00EE09BF"/>
    <w:rsid w:val="00F052AB"/>
    <w:rsid w:val="00F102CC"/>
    <w:rsid w:val="00F91042"/>
    <w:rsid w:val="00FE60E9"/>
    <w:rsid w:val="00FE78C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653435"/>
    <w:pPr>
      <w:ind w:left="720"/>
      <w:contextualSpacing/>
    </w:pPr>
  </w:style>
  <w:style w:type="character" w:styleId="Hyperlink">
    <w:name w:val="Hyperlink"/>
    <w:basedOn w:val="DefaultParagraphFont"/>
    <w:uiPriority w:val="99"/>
    <w:unhideWhenUsed/>
    <w:rsid w:val="00CE43A6"/>
    <w:rPr>
      <w:color w:val="0000FF"/>
      <w:u w:val="single"/>
    </w:rPr>
  </w:style>
  <w:style w:type="character" w:styleId="FollowedHyperlink">
    <w:name w:val="FollowedHyperlink"/>
    <w:basedOn w:val="DefaultParagraphFont"/>
    <w:uiPriority w:val="99"/>
    <w:semiHidden/>
    <w:unhideWhenUsed/>
    <w:rsid w:val="00CE43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github.com/Karimi-Lab/TE_aging_manuscrip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1073/pnas.1907883116"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016/j.immuni.2020.11.005"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28</TotalTime>
  <Pages>7</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Mohammad Mahdi Karimi</cp:lastModifiedBy>
  <cp:revision>46</cp:revision>
  <dcterms:created xsi:type="dcterms:W3CDTF">2024-08-19T13:43:00Z</dcterms:created>
  <dcterms:modified xsi:type="dcterms:W3CDTF">2024-10-01T09:38:00Z</dcterms:modified>
</cp:coreProperties>
</file>