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both"/>
        <w:rPr>
          <w:rFonts w:hint="default" w:ascii="Times New Roman" w:hAnsi="Times New Roman" w:eastAsia="Noto Sans" w:cs="Times New Roman"/>
          <w:b/>
          <w:sz w:val="24"/>
          <w:szCs w:val="24"/>
          <w:u w:val="single"/>
        </w:rPr>
      </w:pPr>
    </w:p>
    <w:p w14:paraId="147016ED">
      <w:pPr>
        <w:spacing w:before="60" w:line="227" w:lineRule="auto"/>
        <w:jc w:val="both"/>
        <w:rPr>
          <w:rFonts w:hint="default" w:ascii="Times New Roman" w:hAnsi="Times New Roman" w:eastAsia="Noto Sans" w:cs="Times New Roman"/>
          <w:b/>
          <w:sz w:val="24"/>
          <w:szCs w:val="24"/>
        </w:rPr>
      </w:pPr>
      <w:r>
        <w:rPr>
          <w:rFonts w:hint="default" w:ascii="Times New Roman" w:hAnsi="Times New Roman" w:eastAsia="Noto Sans" w:cs="Times New Roman"/>
          <w:b/>
          <w:sz w:val="24"/>
          <w:szCs w:val="24"/>
          <w:u w:val="single"/>
        </w:rPr>
        <w:t>M</w:t>
      </w:r>
      <w:r>
        <w:rPr>
          <w:rFonts w:hint="default" w:ascii="Times New Roman" w:hAnsi="Times New Roman" w:eastAsia="Noto Sans" w:cs="Times New Roman"/>
          <w:b/>
          <w:sz w:val="24"/>
          <w:szCs w:val="24"/>
        </w:rPr>
        <w:t xml:space="preserve">aterials </w:t>
      </w:r>
      <w:r>
        <w:rPr>
          <w:rFonts w:hint="default" w:ascii="Times New Roman" w:hAnsi="Times New Roman" w:eastAsia="Noto Sans" w:cs="Times New Roman"/>
          <w:b/>
          <w:sz w:val="24"/>
          <w:szCs w:val="24"/>
          <w:u w:val="single"/>
        </w:rPr>
        <w:t>D</w:t>
      </w:r>
      <w:r>
        <w:rPr>
          <w:rFonts w:hint="default" w:ascii="Times New Roman" w:hAnsi="Times New Roman" w:eastAsia="Noto Sans" w:cs="Times New Roman"/>
          <w:b/>
          <w:sz w:val="24"/>
          <w:szCs w:val="24"/>
        </w:rPr>
        <w:t xml:space="preserve">esign </w:t>
      </w:r>
      <w:r>
        <w:rPr>
          <w:rFonts w:hint="default" w:ascii="Times New Roman" w:hAnsi="Times New Roman" w:eastAsia="Noto Sans" w:cs="Times New Roman"/>
          <w:b/>
          <w:sz w:val="24"/>
          <w:szCs w:val="24"/>
          <w:u w:val="single"/>
        </w:rPr>
        <w:t>A</w:t>
      </w:r>
      <w:r>
        <w:rPr>
          <w:rFonts w:hint="default" w:ascii="Times New Roman" w:hAnsi="Times New Roman" w:eastAsia="Noto Sans" w:cs="Times New Roman"/>
          <w:b/>
          <w:sz w:val="24"/>
          <w:szCs w:val="24"/>
        </w:rPr>
        <w:t xml:space="preserve">nalysis </w:t>
      </w:r>
      <w:r>
        <w:rPr>
          <w:rFonts w:hint="default" w:ascii="Times New Roman" w:hAnsi="Times New Roman" w:eastAsia="Noto Sans" w:cs="Times New Roman"/>
          <w:b/>
          <w:sz w:val="24"/>
          <w:szCs w:val="24"/>
          <w:u w:val="single"/>
        </w:rPr>
        <w:t>R</w:t>
      </w:r>
      <w:r>
        <w:rPr>
          <w:rFonts w:hint="default" w:ascii="Times New Roman" w:hAnsi="Times New Roman" w:eastAsia="Noto Sans" w:cs="Times New Roman"/>
          <w:b/>
          <w:sz w:val="24"/>
          <w:szCs w:val="24"/>
        </w:rPr>
        <w:t>eporting (MDAR)</w:t>
      </w:r>
    </w:p>
    <w:p w14:paraId="2B2C3068">
      <w:pPr>
        <w:spacing w:before="60" w:line="227" w:lineRule="auto"/>
        <w:jc w:val="both"/>
        <w:rPr>
          <w:rFonts w:hint="default" w:ascii="Times New Roman" w:hAnsi="Times New Roman" w:eastAsia="Noto Sans" w:cs="Times New Roman"/>
          <w:b/>
          <w:sz w:val="24"/>
          <w:szCs w:val="24"/>
        </w:rPr>
      </w:pPr>
      <w:r>
        <w:rPr>
          <w:rFonts w:hint="default" w:ascii="Times New Roman" w:hAnsi="Times New Roman" w:eastAsia="Noto Sans" w:cs="Times New Roman"/>
          <w:b/>
          <w:sz w:val="24"/>
          <w:szCs w:val="24"/>
        </w:rPr>
        <w:t>Checklist for Authors</w:t>
      </w:r>
    </w:p>
    <w:p w14:paraId="5949C2FF">
      <w:pPr>
        <w:jc w:val="both"/>
        <w:rPr>
          <w:rFonts w:hint="default" w:ascii="Times New Roman" w:hAnsi="Times New Roman" w:eastAsia="Noto Sans" w:cs="Times New Roman"/>
          <w:sz w:val="24"/>
          <w:szCs w:val="24"/>
        </w:rPr>
      </w:pPr>
    </w:p>
    <w:p w14:paraId="7DCA99D5">
      <w:pPr>
        <w:jc w:val="both"/>
        <w:rPr>
          <w:rFonts w:hint="default" w:ascii="Times New Roman" w:hAnsi="Times New Roman" w:eastAsia="Noto Sans" w:cs="Times New Roman"/>
          <w:sz w:val="24"/>
          <w:szCs w:val="24"/>
        </w:rPr>
      </w:pPr>
      <w:r>
        <w:rPr>
          <w:rFonts w:hint="default" w:ascii="Times New Roman" w:hAnsi="Times New Roman" w:eastAsia="Noto Sans" w:cs="Times New Roman"/>
          <w:sz w:val="24"/>
          <w:szCs w:val="24"/>
        </w:rPr>
        <w:t xml:space="preserve">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"https://osf.io/xfpn4/"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MDAR framework</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xml:space="preserve"> establishes a minimum set of requirements in transparent reporting mainly applicable to studies in the life sciences.</w:t>
      </w:r>
    </w:p>
    <w:p w14:paraId="607C817B">
      <w:pPr>
        <w:jc w:val="both"/>
        <w:rPr>
          <w:rFonts w:hint="default" w:ascii="Times New Roman" w:hAnsi="Times New Roman" w:eastAsia="Noto Sans" w:cs="Times New Roman"/>
          <w:sz w:val="24"/>
          <w:szCs w:val="24"/>
        </w:rPr>
      </w:pPr>
      <w:bookmarkStart w:id="0" w:name="_cvmm3w1hmoo8" w:colFirst="0" w:colLast="0"/>
      <w:bookmarkEnd w:id="0"/>
    </w:p>
    <w:p w14:paraId="23802453">
      <w:pPr>
        <w:jc w:val="both"/>
        <w:rPr>
          <w:rFonts w:hint="default" w:ascii="Times New Roman" w:hAnsi="Times New Roman" w:eastAsia="Noto Sans" w:cs="Times New Roman"/>
          <w:sz w:val="24"/>
          <w:szCs w:val="24"/>
        </w:rPr>
      </w:pPr>
      <w:r>
        <w:rPr>
          <w:rFonts w:hint="default" w:ascii="Times New Roman" w:hAnsi="Times New Roman" w:eastAsia="Noto Sans" w:cs="Times New Roman"/>
          <w:i/>
          <w:sz w:val="24"/>
          <w:szCs w:val="24"/>
        </w:rPr>
        <w:t>eLife</w:t>
      </w:r>
      <w:r>
        <w:rPr>
          <w:rFonts w:hint="default" w:ascii="Times New Roman" w:hAnsi="Times New Roman" w:eastAsia="Noto Sans" w:cs="Times New Roman"/>
          <w:sz w:val="24"/>
          <w:szCs w:val="24"/>
        </w:rPr>
        <w:t xml:space="preserve"> asks authors to </w:t>
      </w:r>
      <w:r>
        <w:rPr>
          <w:rFonts w:hint="default" w:ascii="Times New Roman" w:hAnsi="Times New Roman" w:eastAsia="Noto Sans" w:cs="Times New Roman"/>
          <w:b/>
          <w:sz w:val="24"/>
          <w:szCs w:val="24"/>
        </w:rPr>
        <w:t>provide detailed information within their article</w:t>
      </w:r>
      <w:r>
        <w:rPr>
          <w:rFonts w:hint="default" w:ascii="Times New Roman" w:hAnsi="Times New Roman" w:eastAsia="Noto Sans" w:cs="Times New Roman"/>
          <w:sz w:val="24"/>
          <w:szCs w:val="24"/>
        </w:rPr>
        <w:t xml:space="preserve"> to facilitate the interpretation and replication of their work. Authors can also upload supporting materials to comply with relevant reporting guidelines for health-related research (see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"http://www.equator-network.org/%20"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EQUATOR Network</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life science research (see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"http://biosharing.org/"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BioSharing Information Resource</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or animal research (see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"http://www.plosbiology.org/article/info:doi/10.1371/journal.pbio.1000412"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ARRIVE Guidelines</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xml:space="preserve"> and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"https://doi.org/10.1038/d41586-020-01751-5"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STRANGE Framework</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xml:space="preserve">; for details, see </w:t>
      </w:r>
      <w:r>
        <w:rPr>
          <w:rFonts w:hint="default" w:ascii="Times New Roman" w:hAnsi="Times New Roman" w:eastAsia="Noto Sans" w:cs="Times New Roman"/>
          <w:i/>
          <w:sz w:val="24"/>
          <w:szCs w:val="24"/>
        </w:rPr>
        <w:t>eLife</w:t>
      </w:r>
      <w:r>
        <w:rPr>
          <w:rFonts w:hint="default" w:ascii="Times New Roman" w:hAnsi="Times New Roman" w:eastAsia="Noto Sans" w:cs="Times New Roman"/>
          <w:sz w:val="24"/>
          <w:szCs w:val="24"/>
        </w:rPr>
        <w:t xml:space="preserv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"https://reviewer.elifesciences.org/author-guide/journal-policies"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Journal Policies</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sz w:val="24"/>
          <w:szCs w:val="24"/>
        </w:rPr>
        <w:t>). Where applicable, authors should refer to any relevant reporting standards materials in this form.</w:t>
      </w:r>
    </w:p>
    <w:p w14:paraId="05FE596D">
      <w:pPr>
        <w:jc w:val="both"/>
        <w:rPr>
          <w:rFonts w:hint="default" w:ascii="Times New Roman" w:hAnsi="Times New Roman" w:eastAsia="Noto Sans" w:cs="Times New Roman"/>
          <w:b/>
          <w:color w:val="434343"/>
          <w:sz w:val="24"/>
          <w:szCs w:val="24"/>
        </w:rPr>
      </w:pPr>
    </w:p>
    <w:p w14:paraId="09B952D6">
      <w:pPr>
        <w:spacing w:before="60" w:line="227" w:lineRule="auto"/>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 xml:space="preserve">For all that apply, please note </w:t>
      </w:r>
      <w:r>
        <w:rPr>
          <w:rFonts w:hint="default" w:ascii="Times New Roman" w:hAnsi="Times New Roman" w:eastAsia="Noto Sans" w:cs="Times New Roman"/>
          <w:b/>
          <w:color w:val="434343"/>
          <w:sz w:val="24"/>
          <w:szCs w:val="24"/>
        </w:rPr>
        <w:t xml:space="preserve">where in the article </w:t>
      </w:r>
      <w:r>
        <w:rPr>
          <w:rFonts w:hint="default" w:ascii="Times New Roman" w:hAnsi="Times New Roman" w:eastAsia="Noto Sans" w:cs="Times New Roman"/>
          <w:color w:val="434343"/>
          <w:sz w:val="24"/>
          <w:szCs w:val="24"/>
        </w:rPr>
        <w:t>the information is provided. Please note that we also collect information about data availability and ethics in the submission form.</w:t>
      </w:r>
    </w:p>
    <w:p w14:paraId="25ABA3FA">
      <w:pPr>
        <w:spacing w:before="60" w:line="227" w:lineRule="auto"/>
        <w:jc w:val="both"/>
        <w:rPr>
          <w:rFonts w:hint="default" w:ascii="Times New Roman" w:hAnsi="Times New Roman" w:eastAsia="Noto Sans" w:cs="Times New Roman"/>
          <w:b/>
          <w:color w:val="434343"/>
          <w:sz w:val="24"/>
          <w:szCs w:val="24"/>
          <w:u w:val="single"/>
        </w:rPr>
      </w:pPr>
    </w:p>
    <w:p w14:paraId="44BE6531">
      <w:pPr>
        <w:spacing w:before="60" w:line="227"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Materials:</w:t>
      </w:r>
    </w:p>
    <w:p w14:paraId="573CEB8E">
      <w:pPr>
        <w:spacing w:line="227"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jc w:val="both"/>
              <w:rPr>
                <w:rFonts w:hint="default" w:ascii="Times New Roman" w:hAnsi="Times New Roman" w:eastAsia="Noto Sans" w:cs="Times New Roman"/>
                <w:b/>
                <w:color w:val="434343"/>
                <w:sz w:val="24"/>
                <w:szCs w:val="24"/>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For commercial reagents, provide supplier name, catalogue number and</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"https://scicrunch.org/resources"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434343"/>
                <w:sz w:val="24"/>
                <w:szCs w:val="24"/>
              </w:rPr>
              <w:t xml:space="preserve"> </w:t>
            </w:r>
            <w:r>
              <w:rPr>
                <w:rFonts w:hint="default" w:ascii="Times New Roman" w:hAnsi="Times New Roman" w:eastAsia="Noto Sans" w:cs="Times New Roman"/>
                <w:color w:val="434343"/>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"https://scicrunch.org/resources" \h </w:instrText>
            </w:r>
            <w:r>
              <w:rPr>
                <w:rFonts w:hint="default" w:ascii="Times New Roman" w:hAnsi="Times New Roman" w:cs="Times New Roman"/>
                <w:sz w:val="24"/>
                <w:szCs w:val="24"/>
              </w:rPr>
              <w:fldChar w:fldCharType="separate"/>
            </w:r>
            <w:r>
              <w:rPr>
                <w:rFonts w:hint="default" w:ascii="Times New Roman" w:hAnsi="Times New Roman" w:eastAsia="Noto Sans" w:cs="Times New Roman"/>
                <w:color w:val="1155CC"/>
                <w:sz w:val="24"/>
                <w:szCs w:val="24"/>
                <w:u w:val="single"/>
              </w:rPr>
              <w:t>RRID</w:t>
            </w:r>
            <w:r>
              <w:rPr>
                <w:rFonts w:hint="default" w:ascii="Times New Roman" w:hAnsi="Times New Roman" w:eastAsia="Noto Sans" w:cs="Times New Roman"/>
                <w:color w:val="1155CC"/>
                <w:sz w:val="24"/>
                <w:szCs w:val="24"/>
                <w:u w:val="single"/>
              </w:rPr>
              <w:fldChar w:fldCharType="end"/>
            </w:r>
            <w:r>
              <w:rPr>
                <w:rFonts w:hint="default" w:ascii="Times New Roman" w:hAnsi="Times New Roman" w:eastAsia="Noto Sans" w:cs="Times New Roman"/>
                <w:color w:val="434343"/>
                <w:sz w:val="24"/>
                <w:szCs w:val="24"/>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jc w:val="both"/>
              <w:rPr>
                <w:rFonts w:hint="default" w:ascii="Times New Roman" w:hAnsi="Times New Roman" w:eastAsia="宋体" w:cs="Times New Roman"/>
                <w:bCs/>
                <w:color w:val="434343"/>
                <w:sz w:val="24"/>
                <w:szCs w:val="24"/>
                <w:lang w:val="en-US" w:eastAsia="zh-CN"/>
              </w:rPr>
            </w:pPr>
            <w:r>
              <w:rPr>
                <w:rFonts w:hint="default" w:ascii="Times New Roman" w:hAnsi="Times New Roman" w:eastAsia="宋体" w:cs="Times New Roman"/>
                <w:bCs/>
                <w:color w:val="434343"/>
                <w:sz w:val="24"/>
                <w:szCs w:val="24"/>
                <w:lang w:val="en-US" w:eastAsia="zh-CN"/>
              </w:rPr>
              <w:t>In part 4</w:t>
            </w:r>
            <w:r>
              <w:rPr>
                <w:rFonts w:hint="eastAsia" w:ascii="Times New Roman" w:hAnsi="Times New Roman" w:eastAsia="宋体" w:cs="Times New Roman"/>
                <w:bCs/>
                <w:color w:val="434343"/>
                <w:sz w:val="24"/>
                <w:szCs w:val="24"/>
                <w:lang w:val="en-US" w:eastAsia="zh-CN"/>
              </w:rPr>
              <w:t xml:space="preserve"> </w:t>
            </w:r>
            <w:r>
              <w:rPr>
                <w:rFonts w:hint="default" w:ascii="Times New Roman" w:hAnsi="Times New Roman" w:eastAsia="宋体" w:cs="Times New Roman"/>
                <w:bCs/>
                <w:color w:val="434343"/>
                <w:sz w:val="24"/>
                <w:szCs w:val="24"/>
                <w:lang w:val="en-US" w:eastAsia="zh-CN"/>
              </w:rPr>
              <w:t>Key Resources Table</w:t>
            </w:r>
            <w:r>
              <w:rPr>
                <w:rFonts w:hint="eastAsia" w:ascii="Times New Roman" w:hAnsi="Times New Roman" w:eastAsia="宋体" w:cs="Times New Roman"/>
                <w:bCs/>
                <w:color w:val="434343"/>
                <w:sz w:val="24"/>
                <w:szCs w:val="24"/>
                <w:lang w:val="en-US" w:eastAsia="zh-CN"/>
              </w:rPr>
              <w:t xml:space="preserve"> and Supplementary Table 1</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jc w:val="both"/>
              <w:rPr>
                <w:rFonts w:hint="default" w:ascii="Times New Roman" w:hAnsi="Times New Roman" w:eastAsia="Noto Sans" w:cs="Times New Roman"/>
                <w:bCs/>
                <w:color w:val="434343"/>
                <w:sz w:val="24"/>
                <w:szCs w:val="24"/>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jc w:val="both"/>
              <w:rPr>
                <w:rFonts w:hint="default" w:ascii="Times New Roman" w:hAnsi="Times New Roman" w:eastAsia="Noto Sans" w:cs="Times New Roman"/>
                <w:b/>
                <w:color w:val="434343"/>
                <w:sz w:val="24"/>
                <w:szCs w:val="24"/>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jc w:val="both"/>
              <w:rPr>
                <w:rFonts w:hint="default" w:ascii="Times New Roman" w:hAnsi="Times New Roman" w:eastAsia="Noto Sans" w:cs="Times New Roman"/>
                <w:color w:val="434343"/>
                <w:sz w:val="24"/>
                <w:szCs w:val="24"/>
                <w:highlight w:val="white"/>
              </w:rPr>
            </w:pPr>
            <w:r>
              <w:rPr>
                <w:rFonts w:hint="default" w:ascii="Times New Roman" w:hAnsi="Times New Roman" w:eastAsia="Noto Sans" w:cs="Times New Roman"/>
                <w:color w:val="434343"/>
                <w:sz w:val="24"/>
                <w:szCs w:val="24"/>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jc w:val="both"/>
              <w:rPr>
                <w:rFonts w:hint="default" w:ascii="Times New Roman" w:hAnsi="Times New Roman" w:eastAsia="Noto Sans" w:cs="Times New Roman"/>
                <w:b/>
                <w:color w:val="434343"/>
                <w:sz w:val="24"/>
                <w:szCs w:val="24"/>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80F7601">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Cell lines: Provide species information, strain. Provide accession number in repository OR supplier name, catalog number, clone number, OR RRID.</w:t>
            </w:r>
          </w:p>
        </w:tc>
        <w:tc>
          <w:tcPr>
            <w:tcW w:w="30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42EF030">
            <w:pPr>
              <w:jc w:val="both"/>
              <w:rPr>
                <w:rFonts w:hint="default" w:ascii="Times New Roman" w:hAnsi="Times New Roman" w:eastAsia="Noto Sans" w:cs="Times New Roman"/>
                <w:bCs/>
                <w:color w:val="434343"/>
                <w:sz w:val="24"/>
                <w:szCs w:val="24"/>
              </w:rPr>
            </w:pPr>
            <w:r>
              <w:rPr>
                <w:rFonts w:hint="default" w:ascii="Times New Roman" w:hAnsi="Times New Roman" w:eastAsia="宋体" w:cs="Times New Roman"/>
                <w:bCs/>
                <w:color w:val="auto"/>
                <w:sz w:val="24"/>
                <w:szCs w:val="24"/>
                <w:lang w:val="en-US" w:eastAsia="zh-CN"/>
              </w:rPr>
              <w:t xml:space="preserve">In </w:t>
            </w:r>
            <w:r>
              <w:rPr>
                <w:rFonts w:hint="eastAsia" w:ascii="Times New Roman" w:hAnsi="Times New Roman" w:eastAsia="宋体" w:cs="Times New Roman"/>
                <w:bCs/>
                <w:color w:val="auto"/>
                <w:sz w:val="24"/>
                <w:szCs w:val="24"/>
                <w:lang w:val="en-US" w:eastAsia="zh-CN"/>
              </w:rPr>
              <w:t xml:space="preserve">part 4 </w:t>
            </w:r>
            <w:r>
              <w:rPr>
                <w:rFonts w:hint="default" w:ascii="Times New Roman" w:hAnsi="Times New Roman" w:eastAsia="Times New Roman" w:cs="Times New Roman"/>
                <w:color w:val="auto"/>
                <w:sz w:val="24"/>
                <w:szCs w:val="22"/>
              </w:rPr>
              <w:t>Key Resources Table</w:t>
            </w:r>
            <w:r>
              <w:rPr>
                <w:rFonts w:hint="eastAsia" w:ascii="Times New Roman" w:hAnsi="Times New Roman" w:eastAsia="宋体" w:cs="Times New Roman"/>
                <w:color w:val="auto"/>
                <w:sz w:val="24"/>
                <w:szCs w:val="22"/>
                <w:lang w:val="en-US" w:eastAsia="zh-CN"/>
              </w:rPr>
              <w:t xml:space="preserve"> and </w:t>
            </w:r>
            <w:r>
              <w:rPr>
                <w:rFonts w:hint="default" w:ascii="Times New Roman" w:hAnsi="Times New Roman" w:eastAsia="宋体" w:cs="Times New Roman"/>
                <w:bCs/>
                <w:color w:val="auto"/>
                <w:sz w:val="24"/>
                <w:szCs w:val="24"/>
                <w:lang w:val="en-US" w:eastAsia="zh-CN"/>
              </w:rPr>
              <w:t>4</w:t>
            </w:r>
            <w:r>
              <w:rPr>
                <w:rFonts w:hint="eastAsia" w:ascii="Times New Roman" w:hAnsi="Times New Roman" w:eastAsia="宋体" w:cs="Times New Roman"/>
                <w:bCs/>
                <w:color w:val="auto"/>
                <w:sz w:val="24"/>
                <w:szCs w:val="24"/>
                <w:lang w:val="en-US" w:eastAsia="zh-CN"/>
              </w:rPr>
              <w:t xml:space="preserve">.11 </w:t>
            </w:r>
            <w:r>
              <w:rPr>
                <w:rFonts w:hint="default" w:ascii="Times New Roman" w:hAnsi="Times New Roman" w:eastAsia="宋体" w:cs="Times New Roman"/>
                <w:bCs/>
                <w:color w:val="auto"/>
                <w:sz w:val="24"/>
                <w:szCs w:val="24"/>
                <w:lang w:val="en-US" w:eastAsia="zh-CN"/>
              </w:rPr>
              <w:t>Cell culture and treatment</w:t>
            </w:r>
          </w:p>
        </w:tc>
        <w:tc>
          <w:tcPr>
            <w:tcW w:w="1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7C12386">
            <w:pPr>
              <w:jc w:val="both"/>
              <w:rPr>
                <w:rFonts w:hint="default" w:ascii="Times New Roman" w:hAnsi="Times New Roman" w:eastAsia="Noto Sans" w:cs="Times New Roman"/>
                <w:bCs/>
                <w:color w:val="434343"/>
                <w:sz w:val="24"/>
                <w:szCs w:val="24"/>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single" w:color="000000" w:sz="8" w:space="0"/>
              <w:left w:val="single" w:color="auto" w:sz="8" w:space="0"/>
              <w:bottom w:val="single" w:color="auto" w:sz="8" w:space="0"/>
              <w:right w:val="single" w:color="auto" w:sz="8" w:space="0"/>
            </w:tcBorders>
            <w:tcMar>
              <w:top w:w="100" w:type="dxa"/>
              <w:left w:w="100" w:type="dxa"/>
              <w:bottom w:w="100" w:type="dxa"/>
              <w:right w:w="100" w:type="dxa"/>
            </w:tcMar>
          </w:tcPr>
          <w:p w14:paraId="05176349">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 xml:space="preserve">Primary cultures: Provide species, strain, sex of origin, genetic modification status. </w:t>
            </w:r>
          </w:p>
        </w:tc>
        <w:tc>
          <w:tcPr>
            <w:tcW w:w="3075" w:type="dxa"/>
            <w:tcBorders>
              <w:top w:val="single" w:color="000000" w:sz="8" w:space="0"/>
              <w:left w:val="single" w:color="auto" w:sz="8" w:space="0"/>
              <w:bottom w:val="single" w:color="auto" w:sz="8" w:space="0"/>
              <w:right w:val="single" w:color="auto" w:sz="8" w:space="0"/>
            </w:tcBorders>
            <w:tcMar>
              <w:top w:w="100" w:type="dxa"/>
              <w:left w:w="100" w:type="dxa"/>
              <w:bottom w:w="100" w:type="dxa"/>
              <w:right w:w="100" w:type="dxa"/>
            </w:tcMar>
          </w:tcPr>
          <w:p w14:paraId="6D488BB5">
            <w:pPr>
              <w:jc w:val="both"/>
              <w:rPr>
                <w:rFonts w:hint="default" w:ascii="Times New Roman" w:hAnsi="Times New Roman" w:eastAsia="Noto Sans" w:cs="Times New Roman"/>
                <w:bCs/>
                <w:color w:val="434343"/>
                <w:sz w:val="24"/>
                <w:szCs w:val="24"/>
              </w:rPr>
            </w:pPr>
          </w:p>
        </w:tc>
        <w:tc>
          <w:tcPr>
            <w:tcW w:w="1095" w:type="dxa"/>
            <w:tcBorders>
              <w:top w:val="single" w:color="000000" w:sz="8" w:space="0"/>
              <w:left w:val="single" w:color="auto" w:sz="8" w:space="0"/>
              <w:bottom w:val="single" w:color="auto" w:sz="8" w:space="0"/>
              <w:right w:val="single" w:color="auto" w:sz="8" w:space="0"/>
            </w:tcBorders>
            <w:tcMar>
              <w:top w:w="100" w:type="dxa"/>
              <w:left w:w="100" w:type="dxa"/>
              <w:bottom w:w="100" w:type="dxa"/>
              <w:right w:w="100" w:type="dxa"/>
            </w:tcMar>
          </w:tcPr>
          <w:p w14:paraId="132494B2">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auto" w:sz="8" w:space="0"/>
              <w:left w:val="nil"/>
              <w:bottom w:val="single" w:color="000000" w:sz="8" w:space="0"/>
              <w:right w:val="nil"/>
            </w:tcBorders>
            <w:tcMar>
              <w:top w:w="100" w:type="dxa"/>
              <w:left w:w="100" w:type="dxa"/>
              <w:bottom w:w="100" w:type="dxa"/>
              <w:right w:w="100" w:type="dxa"/>
            </w:tcMar>
          </w:tcPr>
          <w:p w14:paraId="451250F5">
            <w:pPr>
              <w:jc w:val="both"/>
              <w:rPr>
                <w:rFonts w:hint="default" w:ascii="Times New Roman" w:hAnsi="Times New Roman" w:eastAsia="Noto Sans" w:cs="Times New Roman"/>
                <w:b/>
                <w:color w:val="434343"/>
                <w:sz w:val="24"/>
                <w:szCs w:val="24"/>
              </w:rPr>
            </w:pPr>
          </w:p>
        </w:tc>
        <w:tc>
          <w:tcPr>
            <w:tcW w:w="3075" w:type="dxa"/>
            <w:tcBorders>
              <w:top w:val="single" w:color="auto" w:sz="8" w:space="0"/>
              <w:left w:val="nil"/>
              <w:bottom w:val="single" w:color="000000" w:sz="8" w:space="0"/>
              <w:right w:val="nil"/>
            </w:tcBorders>
            <w:tcMar>
              <w:top w:w="100" w:type="dxa"/>
              <w:left w:w="100" w:type="dxa"/>
              <w:bottom w:w="100" w:type="dxa"/>
              <w:right w:w="100" w:type="dxa"/>
            </w:tcMar>
          </w:tcPr>
          <w:p w14:paraId="6AB8A689">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single" w:color="auto" w:sz="8" w:space="0"/>
              <w:left w:val="nil"/>
              <w:bottom w:val="single" w:color="000000" w:sz="8" w:space="0"/>
              <w:right w:val="nil"/>
            </w:tcBorders>
            <w:tcMar>
              <w:top w:w="100" w:type="dxa"/>
              <w:left w:w="100" w:type="dxa"/>
              <w:bottom w:w="100" w:type="dxa"/>
              <w:right w:w="100" w:type="dxa"/>
            </w:tcMar>
          </w:tcPr>
          <w:p w14:paraId="48D9C650">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jc w:val="both"/>
              <w:rPr>
                <w:rFonts w:hint="default" w:ascii="Times New Roman" w:hAnsi="Times New Roman" w:eastAsia="Noto Sans" w:cs="Times New Roman"/>
                <w:bCs/>
                <w:color w:val="434343"/>
                <w:sz w:val="24"/>
                <w:szCs w:val="24"/>
              </w:rPr>
            </w:pPr>
            <w:r>
              <w:rPr>
                <w:rFonts w:hint="default" w:ascii="Times New Roman" w:hAnsi="Times New Roman" w:eastAsia="宋体" w:cs="Times New Roman"/>
                <w:bCs/>
                <w:color w:val="434343"/>
                <w:sz w:val="24"/>
                <w:szCs w:val="24"/>
                <w:lang w:val="en-US" w:eastAsia="zh-CN"/>
              </w:rPr>
              <w:t xml:space="preserve">In </w:t>
            </w:r>
            <w:r>
              <w:rPr>
                <w:rFonts w:hint="eastAsia" w:ascii="Times New Roman" w:hAnsi="Times New Roman" w:eastAsia="宋体" w:cs="Times New Roman"/>
                <w:bCs/>
                <w:color w:val="434343"/>
                <w:sz w:val="24"/>
                <w:szCs w:val="24"/>
                <w:lang w:val="en-US" w:eastAsia="zh-CN"/>
              </w:rPr>
              <w:t xml:space="preserve">part </w:t>
            </w:r>
            <w:r>
              <w:rPr>
                <w:rFonts w:hint="default" w:ascii="Times New Roman" w:hAnsi="Times New Roman" w:eastAsia="宋体" w:cs="Times New Roman"/>
                <w:bCs/>
                <w:color w:val="434343"/>
                <w:sz w:val="24"/>
                <w:szCs w:val="24"/>
                <w:lang w:val="en-US" w:eastAsia="zh-CN"/>
              </w:rPr>
              <w:t>4.1 Animal</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jc w:val="both"/>
              <w:rPr>
                <w:rFonts w:hint="default" w:ascii="Times New Roman" w:hAnsi="Times New Roman" w:eastAsia="Noto Sans" w:cs="Times New Roman"/>
                <w:bCs/>
                <w:color w:val="434343"/>
                <w:sz w:val="24"/>
                <w:szCs w:val="24"/>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jc w:val="both"/>
              <w:rPr>
                <w:rFonts w:hint="default" w:ascii="Times New Roman" w:hAnsi="Times New Roman" w:eastAsia="Noto Sans" w:cs="Times New Roman"/>
                <w:b/>
                <w:color w:val="434343"/>
                <w:sz w:val="24"/>
                <w:szCs w:val="24"/>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color w:val="434343"/>
                <w:sz w:val="24"/>
                <w:szCs w:val="24"/>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jc w:val="both"/>
              <w:rPr>
                <w:rFonts w:hint="default" w:ascii="Times New Roman" w:hAnsi="Times New Roman" w:eastAsia="Noto Sans" w:cs="Times New Roman"/>
                <w:b/>
                <w:color w:val="434343"/>
                <w:sz w:val="24"/>
                <w:szCs w:val="24"/>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If collected and within the bounds of privacy constraints report on age, 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jc w:val="both"/>
              <w:rPr>
                <w:rFonts w:hint="default" w:ascii="Times New Roman" w:hAnsi="Times New Roman" w:eastAsia="Noto Sans" w:cs="Times New Roman"/>
                <w:bCs/>
                <w:color w:val="434343"/>
                <w:sz w:val="24"/>
                <w:szCs w:val="24"/>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bl>
    <w:p w14:paraId="758A97A0">
      <w:pPr>
        <w:spacing w:before="80" w:line="227" w:lineRule="auto"/>
        <w:jc w:val="both"/>
        <w:rPr>
          <w:rFonts w:hint="default" w:ascii="Times New Roman" w:hAnsi="Times New Roman" w:eastAsia="Noto Sans" w:cs="Times New Roman"/>
          <w:b/>
          <w:color w:val="434343"/>
          <w:sz w:val="24"/>
          <w:szCs w:val="24"/>
          <w:u w:val="single"/>
        </w:rPr>
      </w:pPr>
    </w:p>
    <w:p w14:paraId="60E7D3C1">
      <w:pPr>
        <w:spacing w:before="80" w:line="227" w:lineRule="auto"/>
        <w:jc w:val="both"/>
        <w:rPr>
          <w:rFonts w:hint="default" w:ascii="Times New Roman" w:hAnsi="Times New Roman" w:eastAsia="Noto Sans" w:cs="Times New Roman"/>
          <w:b/>
          <w:color w:val="434343"/>
          <w:sz w:val="24"/>
          <w:szCs w:val="24"/>
        </w:rPr>
      </w:pPr>
      <w:bookmarkStart w:id="1" w:name="_ff5b8dustxkx" w:colFirst="0" w:colLast="0"/>
      <w:bookmarkEnd w:id="1"/>
      <w:r>
        <w:rPr>
          <w:rFonts w:hint="default" w:ascii="Times New Roman" w:hAnsi="Times New Roman" w:eastAsia="Noto Sans" w:cs="Times New Roman"/>
          <w:b/>
          <w:color w:val="434343"/>
          <w:sz w:val="24"/>
          <w:szCs w:val="24"/>
        </w:rPr>
        <w:t>Design:</w:t>
      </w:r>
    </w:p>
    <w:p w14:paraId="38B36C0E">
      <w:pPr>
        <w:spacing w:line="227"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C87E005">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If the study protocol has been pre-registered, provide DOI. For clinical trials, provide the trial registration number OR cite DOI.</w:t>
            </w:r>
          </w:p>
        </w:tc>
        <w:tc>
          <w:tcPr>
            <w:tcW w:w="3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3A9EA38">
            <w:pPr>
              <w:spacing w:line="225" w:lineRule="auto"/>
              <w:jc w:val="both"/>
              <w:rPr>
                <w:rFonts w:hint="default" w:ascii="Times New Roman" w:hAnsi="Times New Roman" w:eastAsia="Noto Sans" w:cs="Times New Roman"/>
                <w:bCs/>
                <w:color w:val="434343"/>
                <w:sz w:val="24"/>
                <w:szCs w:val="24"/>
              </w:rPr>
            </w:pPr>
          </w:p>
        </w:tc>
        <w:tc>
          <w:tcPr>
            <w:tcW w:w="9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88B4E58">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nil"/>
              <w:bottom w:val="single" w:color="000000" w:sz="8" w:space="0"/>
              <w:right w:val="nil"/>
            </w:tcBorders>
            <w:tcMar>
              <w:top w:w="100" w:type="dxa"/>
              <w:left w:w="100" w:type="dxa"/>
              <w:bottom w:w="100" w:type="dxa"/>
              <w:right w:w="100" w:type="dxa"/>
            </w:tcMar>
          </w:tcPr>
          <w:p w14:paraId="7199D21C">
            <w:pPr>
              <w:jc w:val="both"/>
              <w:rPr>
                <w:rFonts w:hint="default" w:ascii="Times New Roman" w:hAnsi="Times New Roman" w:eastAsia="Noto Sans" w:cs="Times New Roman"/>
                <w:b/>
                <w:color w:val="434343"/>
                <w:sz w:val="24"/>
                <w:szCs w:val="24"/>
              </w:rPr>
            </w:pPr>
          </w:p>
          <w:p w14:paraId="7C93B4F1">
            <w:pPr>
              <w:jc w:val="both"/>
              <w:rPr>
                <w:rFonts w:hint="default" w:ascii="Times New Roman" w:hAnsi="Times New Roman" w:eastAsia="Noto Sans" w:cs="Times New Roman"/>
                <w:b/>
                <w:color w:val="434343"/>
                <w:sz w:val="24"/>
                <w:szCs w:val="24"/>
              </w:rPr>
            </w:pPr>
          </w:p>
        </w:tc>
        <w:tc>
          <w:tcPr>
            <w:tcW w:w="3105" w:type="dxa"/>
            <w:tcBorders>
              <w:top w:val="single" w:color="000000" w:sz="8" w:space="0"/>
              <w:left w:val="nil"/>
              <w:bottom w:val="single" w:color="000000" w:sz="8" w:space="0"/>
              <w:right w:val="nil"/>
            </w:tcBorders>
            <w:tcMar>
              <w:top w:w="100" w:type="dxa"/>
              <w:left w:w="100" w:type="dxa"/>
              <w:bottom w:w="100" w:type="dxa"/>
              <w:right w:w="100" w:type="dxa"/>
            </w:tcMar>
          </w:tcPr>
          <w:p w14:paraId="351E6AD8">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90" w:type="dxa"/>
            <w:tcBorders>
              <w:top w:val="single" w:color="000000" w:sz="8" w:space="0"/>
              <w:left w:val="nil"/>
              <w:bottom w:val="single" w:color="000000" w:sz="8" w:space="0"/>
              <w:right w:val="nil"/>
            </w:tcBorders>
            <w:tcMar>
              <w:top w:w="100" w:type="dxa"/>
              <w:left w:w="100" w:type="dxa"/>
              <w:bottom w:w="100" w:type="dxa"/>
              <w:right w:w="100" w:type="dxa"/>
            </w:tcMar>
          </w:tcPr>
          <w:p w14:paraId="6AF59EE2">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Laboratory protocol</w:t>
            </w:r>
          </w:p>
        </w:tc>
        <w:tc>
          <w:tcPr>
            <w:tcW w:w="310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FE4C160">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color w:val="434343"/>
                <w:sz w:val="24"/>
                <w:szCs w:val="24"/>
              </w:rPr>
              <w:t>Provide DOI OR other citation details if detailed step-by-step protocols are available.</w:t>
            </w:r>
          </w:p>
        </w:tc>
        <w:tc>
          <w:tcPr>
            <w:tcW w:w="310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jc w:val="both"/>
              <w:rPr>
                <w:rFonts w:hint="default" w:ascii="Times New Roman" w:hAnsi="Times New Roman" w:eastAsia="Noto Sans" w:cs="Times New Roman"/>
                <w:bCs/>
                <w:color w:val="434343"/>
                <w:sz w:val="24"/>
                <w:szCs w:val="24"/>
              </w:rPr>
            </w:pPr>
          </w:p>
        </w:tc>
        <w:tc>
          <w:tcPr>
            <w:tcW w:w="9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jc w:val="both"/>
              <w:rPr>
                <w:rFonts w:hint="default" w:ascii="Times New Roman" w:hAnsi="Times New Roman" w:eastAsia="Noto Sans" w:cs="Times New Roman"/>
                <w:b/>
                <w:color w:val="434343"/>
                <w:sz w:val="24"/>
                <w:szCs w:val="24"/>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jc w:val="left"/>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 xml:space="preserve">In part </w:t>
            </w:r>
            <w:r>
              <w:rPr>
                <w:rFonts w:hint="default" w:ascii="Times New Roman" w:hAnsi="Times New Roman" w:eastAsia="Noto Sans" w:cs="Times New Roman"/>
                <w:bCs/>
                <w:color w:val="434343"/>
                <w:sz w:val="24"/>
                <w:szCs w:val="24"/>
              </w:rPr>
              <w:t>4.2 Animal experiment</w:t>
            </w:r>
            <w:r>
              <w:rPr>
                <w:rFonts w:hint="eastAsia" w:ascii="Times New Roman" w:hAnsi="Times New Roman" w:eastAsia="宋体" w:cs="Times New Roman"/>
                <w:bCs/>
                <w:color w:val="434343"/>
                <w:sz w:val="24"/>
                <w:szCs w:val="24"/>
                <w:lang w:val="en-US" w:eastAsia="zh-CN"/>
              </w:rPr>
              <w:t xml:space="preserve"> and every </w:t>
            </w:r>
            <w:r>
              <w:rPr>
                <w:rFonts w:hint="default" w:ascii="Times New Roman" w:hAnsi="Times New Roman" w:eastAsia="Noto Sans" w:cs="Times New Roman"/>
                <w:b w:val="0"/>
                <w:bCs/>
                <w:color w:val="434343"/>
                <w:sz w:val="24"/>
                <w:szCs w:val="24"/>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jc w:val="both"/>
              <w:rPr>
                <w:rFonts w:hint="default" w:ascii="Times New Roman" w:hAnsi="Times New Roman" w:eastAsia="Noto Sans" w:cs="Times New Roman"/>
                <w:bCs/>
                <w:color w:val="434343"/>
                <w:sz w:val="24"/>
                <w:szCs w:val="24"/>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jc w:val="left"/>
              <w:rPr>
                <w:rFonts w:hint="default" w:ascii="Times New Roman" w:hAnsi="Times New Roman" w:eastAsia="Noto Sans" w:cs="Times New Roman"/>
                <w:bCs/>
                <w:color w:val="434343"/>
                <w:sz w:val="24"/>
                <w:szCs w:val="24"/>
              </w:rPr>
            </w:pPr>
            <w:r>
              <w:rPr>
                <w:rFonts w:hint="eastAsia" w:ascii="Times New Roman" w:hAnsi="Times New Roman" w:eastAsia="宋体" w:cs="Times New Roman"/>
                <w:bCs/>
                <w:color w:val="434343"/>
                <w:sz w:val="24"/>
                <w:szCs w:val="24"/>
                <w:lang w:val="en-US" w:eastAsia="zh-CN"/>
              </w:rPr>
              <w:t xml:space="preserve">In part </w:t>
            </w:r>
            <w:r>
              <w:rPr>
                <w:rFonts w:hint="default" w:ascii="Times New Roman" w:hAnsi="Times New Roman" w:eastAsia="Noto Sans" w:cs="Times New Roman"/>
                <w:bCs/>
                <w:color w:val="434343"/>
                <w:sz w:val="24"/>
                <w:szCs w:val="24"/>
              </w:rPr>
              <w:t>4.2 Animal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jc w:val="both"/>
              <w:rPr>
                <w:rFonts w:hint="default" w:ascii="Times New Roman" w:hAnsi="Times New Roman" w:eastAsia="Noto Sans" w:cs="Times New Roman"/>
                <w:b/>
                <w:color w:val="434343"/>
                <w:sz w:val="24"/>
                <w:szCs w:val="24"/>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jc w:val="left"/>
              <w:rPr>
                <w:rFonts w:hint="default" w:ascii="Times New Roman" w:hAnsi="Times New Roman" w:eastAsia="Noto Sans" w:cs="Times New Roman"/>
                <w:bCs/>
                <w:color w:val="434343"/>
                <w:sz w:val="24"/>
                <w:szCs w:val="24"/>
              </w:rPr>
            </w:pPr>
            <w:r>
              <w:rPr>
                <w:rFonts w:hint="eastAsia" w:ascii="Times New Roman" w:hAnsi="Times New Roman" w:eastAsia="宋体" w:cs="Times New Roman"/>
                <w:bCs/>
                <w:color w:val="434343"/>
                <w:sz w:val="24"/>
                <w:szCs w:val="24"/>
                <w:lang w:val="en-US" w:eastAsia="zh-CN"/>
              </w:rPr>
              <w:t xml:space="preserve">In part </w:t>
            </w:r>
            <w:r>
              <w:rPr>
                <w:rFonts w:hint="default" w:ascii="Times New Roman" w:hAnsi="Times New Roman" w:eastAsia="Noto Sans" w:cs="Times New Roman"/>
                <w:bCs/>
                <w:color w:val="434343"/>
                <w:sz w:val="24"/>
                <w:szCs w:val="24"/>
              </w:rPr>
              <w:t>4.2 Animal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jc w:val="both"/>
              <w:rPr>
                <w:rFonts w:hint="default" w:ascii="Times New Roman" w:hAnsi="Times New Roman" w:eastAsia="Noto Sans" w:cs="Times New Roman"/>
                <w:bCs/>
                <w:color w:val="434343"/>
                <w:sz w:val="24"/>
                <w:szCs w:val="24"/>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jc w:val="left"/>
              <w:rPr>
                <w:rFonts w:hint="default" w:ascii="Times New Roman" w:hAnsi="Times New Roman" w:eastAsia="Noto Sans" w:cs="Times New Roman"/>
                <w:bCs/>
                <w:color w:val="434343"/>
                <w:sz w:val="24"/>
                <w:szCs w:val="24"/>
              </w:rPr>
            </w:pPr>
            <w:r>
              <w:rPr>
                <w:rFonts w:hint="eastAsia" w:ascii="Times New Roman" w:hAnsi="Times New Roman" w:eastAsia="宋体" w:cs="Times New Roman"/>
                <w:bCs/>
                <w:color w:val="434343"/>
                <w:sz w:val="24"/>
                <w:szCs w:val="24"/>
                <w:lang w:val="en-US" w:eastAsia="zh-CN"/>
              </w:rPr>
              <w:t xml:space="preserve">In part </w:t>
            </w:r>
            <w:r>
              <w:rPr>
                <w:rFonts w:hint="default" w:ascii="Times New Roman" w:hAnsi="Times New Roman" w:eastAsia="Noto Sans" w:cs="Times New Roman"/>
                <w:bCs/>
                <w:color w:val="434343"/>
                <w:sz w:val="24"/>
                <w:szCs w:val="24"/>
              </w:rPr>
              <w:t>4.2 Animal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jc w:val="both"/>
              <w:rPr>
                <w:rFonts w:hint="default" w:ascii="Times New Roman" w:hAnsi="Times New Roman" w:eastAsia="Noto Sans" w:cs="Times New Roman"/>
                <w:bCs/>
                <w:color w:val="434343"/>
                <w:sz w:val="24"/>
                <w:szCs w:val="24"/>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jc w:val="both"/>
              <w:rPr>
                <w:rFonts w:hint="default" w:ascii="Times New Roman" w:hAnsi="Times New Roman" w:eastAsia="Noto Sans" w:cs="Times New Roman"/>
                <w:b/>
                <w:color w:val="434343"/>
                <w:sz w:val="24"/>
                <w:szCs w:val="24"/>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highlight w:val="white"/>
              </w:rPr>
              <w:t>State number of times the experiment was replicated in the laboratory</w:t>
            </w:r>
            <w:r>
              <w:rPr>
                <w:rFonts w:hint="default" w:ascii="Times New Roman" w:hAnsi="Times New Roman" w:eastAsia="Noto Sans" w:cs="Times New Roman"/>
                <w:color w:val="434343"/>
                <w:sz w:val="24"/>
                <w:szCs w:val="24"/>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jc w:val="both"/>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In every 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jc w:val="both"/>
              <w:rPr>
                <w:rFonts w:hint="default" w:ascii="Times New Roman" w:hAnsi="Times New Roman" w:eastAsia="Noto Sans" w:cs="Times New Roman"/>
                <w:bCs/>
                <w:color w:val="434343"/>
                <w:sz w:val="24"/>
                <w:szCs w:val="24"/>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highlight w:val="white"/>
              </w:rPr>
              <w:t>Define whether data describe technical or biological replicates</w:t>
            </w:r>
            <w:r>
              <w:rPr>
                <w:rFonts w:hint="default" w:ascii="Times New Roman" w:hAnsi="Times New Roman" w:eastAsia="Noto Sans" w:cs="Times New Roman"/>
                <w:color w:val="434343"/>
                <w:sz w:val="24"/>
                <w:szCs w:val="24"/>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jc w:val="both"/>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In every 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jc w:val="both"/>
              <w:rPr>
                <w:rFonts w:hint="default" w:ascii="Times New Roman" w:hAnsi="Times New Roman" w:eastAsia="Noto Sans" w:cs="Times New Roman"/>
                <w:bCs/>
                <w:color w:val="434343"/>
                <w:sz w:val="24"/>
                <w:szCs w:val="24"/>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jc w:val="both"/>
              <w:rPr>
                <w:rFonts w:hint="default" w:ascii="Times New Roman" w:hAnsi="Times New Roman" w:eastAsia="Noto Sans" w:cs="Times New Roman"/>
                <w:b/>
                <w:color w:val="434343"/>
                <w:sz w:val="24"/>
                <w:szCs w:val="24"/>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Studies involving human participants: State details of authority granting ethics approval (IRB or equivalent committee(s), provide reference number for approval.</w:t>
            </w:r>
          </w:p>
        </w:tc>
        <w:tc>
          <w:tcPr>
            <w:tcW w:w="31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jc w:val="both"/>
              <w:rPr>
                <w:rFonts w:hint="default" w:ascii="Times New Roman" w:hAnsi="Times New Roman" w:eastAsia="Noto Sans" w:cs="Times New Roman"/>
                <w:b/>
                <w:color w:val="434343"/>
                <w:sz w:val="24"/>
                <w:szCs w:val="24"/>
              </w:rPr>
            </w:pP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Studies involving experimental animals: State details of authority granting ethics approval (IRB or equivalent committee(s), provide reference number for approval.</w:t>
            </w:r>
          </w:p>
        </w:tc>
        <w:tc>
          <w:tcPr>
            <w:tcW w:w="31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jc w:val="both"/>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In part 4.1 Anmial</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jc w:val="both"/>
              <w:rPr>
                <w:rFonts w:hint="default" w:ascii="Times New Roman" w:hAnsi="Times New Roman" w:eastAsia="Noto Sans" w:cs="Times New Roman"/>
                <w:bCs/>
                <w:color w:val="434343"/>
                <w:sz w:val="24"/>
                <w:szCs w:val="24"/>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Studies involving specimen and field samples: State if relevant permits obtained, provide details of authority approving study; if none were required, explain why.</w:t>
            </w:r>
          </w:p>
        </w:tc>
        <w:tc>
          <w:tcPr>
            <w:tcW w:w="310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jc w:val="both"/>
              <w:rPr>
                <w:rFonts w:hint="default" w:ascii="Times New Roman" w:hAnsi="Times New Roman" w:eastAsia="Noto Sans" w:cs="Times New Roman"/>
                <w:bCs/>
                <w:color w:val="434343"/>
                <w:sz w:val="24"/>
                <w:szCs w:val="24"/>
              </w:rPr>
            </w:pPr>
          </w:p>
        </w:tc>
        <w:tc>
          <w:tcPr>
            <w:tcW w:w="99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jc w:val="both"/>
              <w:rPr>
                <w:rFonts w:hint="default" w:ascii="Times New Roman" w:hAnsi="Times New Roman" w:eastAsia="Noto Sans" w:cs="Times New Roman"/>
                <w:b/>
                <w:color w:val="434343"/>
                <w:sz w:val="24"/>
                <w:szCs w:val="24"/>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If</w:t>
            </w:r>
            <w:r>
              <w:rPr>
                <w:rFonts w:hint="default" w:ascii="Times New Roman" w:hAnsi="Times New Roman" w:eastAsia="Noto Sans" w:cs="Times New Roman"/>
                <w:color w:val="434343"/>
                <w:sz w:val="24"/>
                <w:szCs w:val="24"/>
                <w:highlight w:val="white"/>
              </w:rPr>
              <w:t xml:space="preserve"> study is subject to dual use research of concern regulations, state </w:t>
            </w:r>
            <w:r>
              <w:rPr>
                <w:rFonts w:hint="default" w:ascii="Times New Roman" w:hAnsi="Times New Roman" w:eastAsia="Noto Sans" w:cs="Times New Roman"/>
                <w:color w:val="434343"/>
                <w:sz w:val="24"/>
                <w:szCs w:val="24"/>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jc w:val="both"/>
              <w:rPr>
                <w:rFonts w:hint="default" w:ascii="Times New Roman" w:hAnsi="Times New Roman" w:eastAsia="Noto Sans" w:cs="Times New Roman"/>
                <w:bCs/>
                <w:color w:val="434343"/>
                <w:sz w:val="24"/>
                <w:szCs w:val="24"/>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bl>
    <w:p w14:paraId="57B9765C">
      <w:pPr>
        <w:spacing w:line="227" w:lineRule="auto"/>
        <w:jc w:val="both"/>
        <w:rPr>
          <w:rFonts w:hint="default" w:ascii="Times New Roman" w:hAnsi="Times New Roman" w:eastAsia="Noto Sans" w:cs="Times New Roman"/>
          <w:b/>
          <w:color w:val="434343"/>
          <w:sz w:val="24"/>
          <w:szCs w:val="24"/>
        </w:rPr>
      </w:pPr>
    </w:p>
    <w:p w14:paraId="00FE7AF9">
      <w:pPr>
        <w:spacing w:before="60" w:line="227"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Analysis:</w:t>
      </w:r>
    </w:p>
    <w:p w14:paraId="3DC043E0">
      <w:pPr>
        <w:spacing w:line="227"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jc w:val="both"/>
              <w:rPr>
                <w:rFonts w:hint="default" w:ascii="Times New Roman" w:hAnsi="Times New Roman" w:eastAsia="Noto Sans" w:cs="Times New Roman"/>
                <w:bCs/>
                <w:color w:val="434343"/>
                <w:sz w:val="24"/>
                <w:szCs w:val="24"/>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jc w:val="both"/>
              <w:rPr>
                <w:rFonts w:hint="default" w:ascii="Times New Roman" w:hAnsi="Times New Roman" w:eastAsia="Noto Sans" w:cs="Times New Roman"/>
                <w:b/>
                <w:color w:val="434343"/>
                <w:sz w:val="24"/>
                <w:szCs w:val="24"/>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color w:val="434343"/>
                <w:sz w:val="24"/>
                <w:szCs w:val="24"/>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jc w:val="both"/>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In part 4.20</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jc w:val="both"/>
              <w:rPr>
                <w:rFonts w:hint="default" w:ascii="Times New Roman" w:hAnsi="Times New Roman" w:eastAsia="Noto Sans" w:cs="Times New Roman"/>
                <w:bCs/>
                <w:color w:val="434343"/>
                <w:sz w:val="24"/>
                <w:szCs w:val="24"/>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jc w:val="both"/>
              <w:rPr>
                <w:rFonts w:hint="default" w:ascii="Times New Roman" w:hAnsi="Times New Roman" w:eastAsia="Noto Sans" w:cs="Times New Roman"/>
                <w:b/>
                <w:color w:val="434343"/>
                <w:sz w:val="24"/>
                <w:szCs w:val="24"/>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jc w:val="both"/>
              <w:rPr>
                <w:rFonts w:hint="default" w:ascii="Times New Roman" w:hAnsi="Times New Roman" w:eastAsia="宋体" w:cs="Times New Roman"/>
                <w:bCs/>
                <w:color w:val="434343"/>
                <w:sz w:val="24"/>
                <w:szCs w:val="24"/>
                <w:lang w:val="en-US" w:eastAsia="zh-CN"/>
              </w:rPr>
            </w:pPr>
            <w:r>
              <w:rPr>
                <w:rFonts w:hint="eastAsia" w:ascii="Times New Roman" w:hAnsi="Times New Roman" w:eastAsia="宋体" w:cs="Times New Roman"/>
                <w:bCs/>
                <w:color w:val="434343"/>
                <w:sz w:val="24"/>
                <w:szCs w:val="24"/>
                <w:lang w:val="en-US" w:eastAsia="zh-CN"/>
              </w:rPr>
              <w:t>In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jc w:val="both"/>
              <w:rPr>
                <w:rFonts w:hint="default" w:ascii="Times New Roman" w:hAnsi="Times New Roman" w:eastAsia="Noto Sans" w:cs="Times New Roman"/>
                <w:bCs/>
                <w:color w:val="434343"/>
                <w:sz w:val="24"/>
                <w:szCs w:val="24"/>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jc w:val="both"/>
              <w:rPr>
                <w:rFonts w:hint="default" w:ascii="Times New Roman" w:hAnsi="Times New Roman" w:eastAsia="Noto Sans" w:cs="Times New Roman"/>
                <w:color w:val="434343"/>
                <w:sz w:val="24"/>
                <w:szCs w:val="24"/>
                <w:highlight w:val="white"/>
              </w:rPr>
            </w:pPr>
            <w:r>
              <w:rPr>
                <w:rFonts w:hint="default" w:ascii="Times New Roman" w:hAnsi="Times New Roman" w:eastAsia="Noto Sans" w:cs="Times New Roman"/>
                <w:color w:val="434343"/>
                <w:sz w:val="24"/>
                <w:szCs w:val="24"/>
                <w:highlight w:val="white"/>
              </w:rPr>
              <w:t>When newly created datasets are publicly available, provide accession number in repository OR DOI and licensing details where available.</w:t>
            </w:r>
          </w:p>
        </w:tc>
        <w:tc>
          <w:tcPr>
            <w:tcW w:w="31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jc w:val="both"/>
              <w:rPr>
                <w:rFonts w:hint="default" w:ascii="Times New Roman" w:hAnsi="Times New Roman" w:eastAsia="Noto Sans" w:cs="Times New Roman"/>
                <w:bCs/>
                <w:color w:val="434343"/>
                <w:sz w:val="24"/>
                <w:szCs w:val="24"/>
              </w:rPr>
            </w:pPr>
            <w:r>
              <w:rPr>
                <w:rFonts w:hint="eastAsia" w:ascii="Times New Roman" w:hAnsi="Times New Roman" w:eastAsia="宋体" w:cs="Times New Roman"/>
                <w:bCs/>
                <w:color w:val="434343"/>
                <w:sz w:val="24"/>
                <w:szCs w:val="24"/>
                <w:lang w:val="en-US" w:eastAsia="zh-CN"/>
              </w:rPr>
              <w:t>In Data availability</w:t>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jc w:val="both"/>
              <w:rPr>
                <w:rFonts w:hint="default" w:ascii="Times New Roman" w:hAnsi="Times New Roman" w:eastAsia="Noto Sans" w:cs="Times New Roman"/>
                <w:bCs/>
                <w:color w:val="434343"/>
                <w:sz w:val="24"/>
                <w:szCs w:val="24"/>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jc w:val="both"/>
              <w:rPr>
                <w:rFonts w:hint="default" w:ascii="Times New Roman" w:hAnsi="Times New Roman" w:eastAsia="Noto Sans" w:cs="Times New Roman"/>
                <w:color w:val="434343"/>
                <w:sz w:val="24"/>
                <w:szCs w:val="24"/>
                <w:highlight w:val="white"/>
              </w:rPr>
            </w:pPr>
            <w:r>
              <w:rPr>
                <w:rFonts w:hint="default" w:ascii="Times New Roman" w:hAnsi="Times New Roman" w:eastAsia="Noto Sans" w:cs="Times New Roman"/>
                <w:color w:val="434343"/>
                <w:sz w:val="24"/>
                <w:szCs w:val="24"/>
                <w:highlight w:val="white"/>
              </w:rPr>
              <w:t>If reused data is publicly available provide accession number in repository OR DOI, OR URL, OR citation.</w:t>
            </w:r>
          </w:p>
        </w:tc>
        <w:tc>
          <w:tcPr>
            <w:tcW w:w="316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jc w:val="both"/>
              <w:rPr>
                <w:rFonts w:hint="default" w:ascii="Times New Roman" w:hAnsi="Times New Roman" w:eastAsia="Noto Sans" w:cs="Times New Roman"/>
                <w:bCs/>
                <w:color w:val="434343"/>
                <w:sz w:val="24"/>
                <w:szCs w:val="24"/>
              </w:rPr>
            </w:pPr>
          </w:p>
        </w:tc>
        <w:tc>
          <w:tcPr>
            <w:tcW w:w="97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jc w:val="both"/>
              <w:rPr>
                <w:rFonts w:hint="default" w:ascii="Times New Roman" w:hAnsi="Times New Roman" w:eastAsia="Noto Sans" w:cs="Times New Roman"/>
                <w:b/>
                <w:color w:val="434343"/>
                <w:sz w:val="24"/>
                <w:szCs w:val="24"/>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jc w:val="both"/>
              <w:rPr>
                <w:rFonts w:hint="default" w:ascii="Times New Roman" w:hAnsi="Times New Roman" w:eastAsia="Noto Sans" w:cs="Times New Roman"/>
                <w:bCs/>
                <w:color w:val="434343"/>
                <w:sz w:val="24"/>
                <w:szCs w:val="24"/>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Where newly generated code is publicly available, provide accession number in repository, OR DOI OR URL and licensing details where available. State any restrictions on code availability or accessibility.</w:t>
            </w:r>
          </w:p>
        </w:tc>
        <w:tc>
          <w:tcPr>
            <w:tcW w:w="316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jc w:val="both"/>
              <w:rPr>
                <w:rFonts w:hint="default" w:ascii="Times New Roman" w:hAnsi="Times New Roman" w:eastAsia="Noto Sans" w:cs="Times New Roman"/>
                <w:bCs/>
                <w:color w:val="434343"/>
                <w:sz w:val="24"/>
                <w:szCs w:val="24"/>
              </w:rPr>
            </w:pPr>
          </w:p>
        </w:tc>
        <w:tc>
          <w:tcPr>
            <w:tcW w:w="97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jc w:val="both"/>
              <w:rPr>
                <w:rFonts w:hint="default" w:ascii="Times New Roman" w:hAnsi="Times New Roman" w:eastAsia="Noto Sans" w:cs="Times New Roman"/>
                <w:color w:val="434343"/>
                <w:sz w:val="24"/>
                <w:szCs w:val="24"/>
                <w:highlight w:val="white"/>
              </w:rPr>
            </w:pPr>
            <w:r>
              <w:rPr>
                <w:rFonts w:hint="default" w:ascii="Times New Roman" w:hAnsi="Times New Roman" w:eastAsia="Noto Sans" w:cs="Times New Roman"/>
                <w:color w:val="434343"/>
                <w:sz w:val="24"/>
                <w:szCs w:val="24"/>
              </w:rPr>
              <w:t xml:space="preserve">If reused code is </w:t>
            </w:r>
            <w:r>
              <w:rPr>
                <w:rFonts w:hint="default" w:ascii="Times New Roman" w:hAnsi="Times New Roman" w:eastAsia="Noto Sans" w:cs="Times New Roman"/>
                <w:color w:val="434343"/>
                <w:sz w:val="24"/>
                <w:szCs w:val="24"/>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jc w:val="both"/>
              <w:rPr>
                <w:rFonts w:hint="default" w:ascii="Times New Roman" w:hAnsi="Times New Roman" w:eastAsia="Noto Sans" w:cs="Times New Roman"/>
                <w:bCs/>
                <w:color w:val="434343"/>
                <w:sz w:val="24"/>
                <w:szCs w:val="24"/>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bl>
    <w:p w14:paraId="0AA8B99E">
      <w:pPr>
        <w:spacing w:before="60" w:line="227" w:lineRule="auto"/>
        <w:jc w:val="both"/>
        <w:rPr>
          <w:rFonts w:hint="default" w:ascii="Times New Roman" w:hAnsi="Times New Roman" w:eastAsia="Noto Sans" w:cs="Times New Roman"/>
          <w:b/>
          <w:color w:val="434343"/>
          <w:sz w:val="24"/>
          <w:szCs w:val="24"/>
          <w:u w:val="single"/>
        </w:rPr>
      </w:pPr>
    </w:p>
    <w:p w14:paraId="05E5A65D">
      <w:pPr>
        <w:spacing w:before="60" w:line="227" w:lineRule="auto"/>
        <w:jc w:val="both"/>
        <w:rPr>
          <w:rFonts w:hint="default" w:ascii="Times New Roman" w:hAnsi="Times New Roman" w:eastAsia="Noto Sans" w:cs="Times New Roman"/>
          <w:b/>
          <w:color w:val="434343"/>
          <w:sz w:val="24"/>
          <w:szCs w:val="24"/>
        </w:rPr>
      </w:pPr>
      <w:bookmarkStart w:id="2" w:name="_qing2gdaj9k6" w:colFirst="0" w:colLast="0"/>
      <w:bookmarkEnd w:id="2"/>
      <w:r>
        <w:rPr>
          <w:rFonts w:hint="default" w:ascii="Times New Roman" w:hAnsi="Times New Roman" w:eastAsia="Noto Sans" w:cs="Times New Roman"/>
          <w:b/>
          <w:color w:val="434343"/>
          <w:sz w:val="24"/>
          <w:szCs w:val="24"/>
        </w:rPr>
        <w:t>Reporting:</w:t>
      </w:r>
    </w:p>
    <w:p w14:paraId="562BE798">
      <w:pPr>
        <w:spacing w:before="80" w:line="227" w:lineRule="auto"/>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The MDAR framework recommends adoption of discipline-specific guidelines, established and endorsed through community initiatives.</w:t>
      </w:r>
    </w:p>
    <w:p w14:paraId="6D6099B1">
      <w:pPr>
        <w:spacing w:line="227" w:lineRule="auto"/>
        <w:ind w:left="460"/>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jc w:val="both"/>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jc w:val="both"/>
              <w:rPr>
                <w:rFonts w:hint="default" w:ascii="Times New Roman" w:hAnsi="Times New Roman" w:eastAsia="Noto Sans" w:cs="Times New Roman"/>
                <w:color w:val="434343"/>
                <w:sz w:val="24"/>
                <w:szCs w:val="24"/>
              </w:rPr>
            </w:pPr>
            <w:r>
              <w:rPr>
                <w:rFonts w:hint="default" w:ascii="Times New Roman" w:hAnsi="Times New Roman" w:eastAsia="Noto Sans" w:cs="Times New Roman"/>
                <w:color w:val="434343"/>
                <w:sz w:val="24"/>
                <w:szCs w:val="24"/>
              </w:rPr>
              <w:t xml:space="preserve">State if relevant guidelines (e.g., </w:t>
            </w:r>
            <w:bookmarkStart w:id="4" w:name="_GoBack"/>
            <w:r>
              <w:rPr>
                <w:rFonts w:hint="default" w:ascii="Times New Roman" w:hAnsi="Times New Roman" w:eastAsia="Noto Sans" w:cs="Times New Roman"/>
                <w:color w:val="434343"/>
                <w:sz w:val="24"/>
                <w:szCs w:val="24"/>
              </w:rPr>
              <w:t>ICMJE, MIBBI, ARRIVE, STRANGE</w:t>
            </w:r>
            <w:bookmarkEnd w:id="4"/>
            <w:r>
              <w:rPr>
                <w:rFonts w:hint="default" w:ascii="Times New Roman" w:hAnsi="Times New Roman" w:eastAsia="Noto Sans" w:cs="Times New Roman"/>
                <w:color w:val="434343"/>
                <w:sz w:val="24"/>
                <w:szCs w:val="24"/>
              </w:rPr>
              <w:t>)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jc w:val="both"/>
              <w:rPr>
                <w:rFonts w:hint="default" w:ascii="Times New Roman" w:hAnsi="Times New Roman" w:eastAsia="Noto Sans" w:cs="Times New Roman"/>
                <w:bCs/>
                <w:color w:val="434343"/>
                <w:sz w:val="24"/>
                <w:szCs w:val="24"/>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jc w:val="both"/>
              <w:rPr>
                <w:rFonts w:hint="default" w:ascii="Times New Roman" w:hAnsi="Times New Roman" w:eastAsia="Noto Sans" w:cs="Times New Roman"/>
                <w:bCs/>
                <w:color w:val="434343"/>
                <w:sz w:val="24"/>
                <w:szCs w:val="24"/>
              </w:rPr>
            </w:pPr>
            <w:r>
              <w:rPr>
                <w:rFonts w:hint="default" w:ascii="Times New Roman" w:hAnsi="Times New Roman" w:eastAsia="Noto Sans" w:cs="Times New Roman"/>
                <w:b/>
                <w:color w:val="434343"/>
                <w:sz w:val="24"/>
                <w:szCs w:val="24"/>
              </w:rPr>
              <w:t>N/A</w:t>
            </w:r>
          </w:p>
        </w:tc>
      </w:tr>
    </w:tbl>
    <w:p w14:paraId="504D0CB4">
      <w:pPr>
        <w:spacing w:line="227" w:lineRule="auto"/>
        <w:jc w:val="both"/>
        <w:rPr>
          <w:rFonts w:hint="default" w:ascii="Times New Roman" w:hAnsi="Times New Roman" w:eastAsia="Noto Sans" w:cs="Times New Roman"/>
          <w:b/>
          <w:color w:val="434343"/>
          <w:sz w:val="24"/>
          <w:szCs w:val="24"/>
        </w:rPr>
      </w:pPr>
    </w:p>
    <w:p w14:paraId="36ED3EAB">
      <w:pPr>
        <w:spacing w:before="80"/>
        <w:jc w:val="both"/>
        <w:rPr>
          <w:rFonts w:hint="default" w:ascii="Times New Roman" w:hAnsi="Times New Roman" w:cs="Times New Roman"/>
          <w:sz w:val="24"/>
          <w:szCs w:val="24"/>
        </w:rPr>
      </w:pPr>
      <w:bookmarkStart w:id="3" w:name="_cm0qssfkw66b" w:colFirst="0" w:colLast="0"/>
      <w:bookmarkEnd w:id="3"/>
      <w:r>
        <w:rPr>
          <w:rFonts w:hint="default" w:ascii="Times New Roman" w:hAnsi="Times New Roman" w:cs="Times New Roman"/>
          <w:sz w:val="24"/>
          <w:szCs w:val="24"/>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jc w:val="both"/>
        <w:rPr>
          <w:rFonts w:hint="default" w:ascii="Times New Roman" w:hAnsi="Times New Roman" w:cs="Times New Roman"/>
          <w:sz w:val="24"/>
          <w:szCs w:val="24"/>
        </w:rPr>
      </w:pPr>
    </w:p>
    <w:p w14:paraId="4689F878">
      <w:pPr>
        <w:jc w:val="both"/>
        <w:rPr>
          <w:rFonts w:hint="default" w:ascii="Times New Roman" w:hAnsi="Times New Roman" w:cs="Times New Roman"/>
          <w:color w:val="FF0000"/>
          <w:sz w:val="24"/>
          <w:szCs w:val="24"/>
        </w:rPr>
      </w:pPr>
      <w:r>
        <w:rPr>
          <w:rFonts w:hint="default" w:ascii="Times New Roman" w:hAnsi="Times New Roman" w:cs="Times New Roman"/>
          <w:sz w:val="24"/>
          <w:szCs w:val="24"/>
        </w:rPr>
        <w:t xml:space="preserve">* We provide the following guidance regarding transparent reporting and statistics; we also refer authors to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"https://doi.org/10.7554/eLife.48175" \h </w:instrText>
      </w:r>
      <w:r>
        <w:rPr>
          <w:rFonts w:hint="default" w:ascii="Times New Roman" w:hAnsi="Times New Roman" w:cs="Times New Roman"/>
          <w:sz w:val="24"/>
          <w:szCs w:val="24"/>
        </w:rPr>
        <w:fldChar w:fldCharType="separate"/>
      </w:r>
      <w:r>
        <w:rPr>
          <w:rFonts w:hint="default" w:ascii="Times New Roman" w:hAnsi="Times New Roman" w:cs="Times New Roman"/>
          <w:color w:val="1155CC"/>
          <w:sz w:val="24"/>
          <w:szCs w:val="24"/>
          <w:u w:val="single"/>
        </w:rPr>
        <w:t>Ten common statistical mistakes to watch out for when writing or reviewing a manuscript</w:t>
      </w:r>
      <w:r>
        <w:rPr>
          <w:rFonts w:hint="default" w:ascii="Times New Roman" w:hAnsi="Times New Roman" w:cs="Times New Roman"/>
          <w:color w:val="1155CC"/>
          <w:sz w:val="24"/>
          <w:szCs w:val="24"/>
          <w:u w:val="single"/>
        </w:rPr>
        <w:fldChar w:fldCharType="end"/>
      </w:r>
      <w:r>
        <w:rPr>
          <w:rFonts w:hint="default" w:ascii="Times New Roman" w:hAnsi="Times New Roman" w:cs="Times New Roman"/>
          <w:sz w:val="24"/>
          <w:szCs w:val="24"/>
        </w:rPr>
        <w:t>.</w:t>
      </w:r>
    </w:p>
    <w:p w14:paraId="360DDEF9">
      <w:pPr>
        <w:jc w:val="both"/>
        <w:rPr>
          <w:rFonts w:hint="default" w:ascii="Times New Roman" w:hAnsi="Times New Roman" w:cs="Times New Roman"/>
          <w:sz w:val="24"/>
          <w:szCs w:val="24"/>
        </w:rPr>
      </w:pPr>
    </w:p>
    <w:p w14:paraId="4D2FC5F5">
      <w:pPr>
        <w:jc w:val="both"/>
        <w:rPr>
          <w:rFonts w:hint="default" w:ascii="Times New Roman" w:hAnsi="Times New Roman" w:cs="Times New Roman"/>
          <w:b/>
          <w:sz w:val="24"/>
          <w:szCs w:val="24"/>
        </w:rPr>
      </w:pPr>
      <w:r>
        <w:rPr>
          <w:rFonts w:hint="default" w:ascii="Times New Roman" w:hAnsi="Times New Roman" w:cs="Times New Roman"/>
          <w:b/>
          <w:sz w:val="24"/>
          <w:szCs w:val="24"/>
        </w:rPr>
        <w:t>Sample-size estimation</w:t>
      </w:r>
    </w:p>
    <w:p w14:paraId="3CCA1721">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You should state whether an appropriate sample size was computed when the study was being designed</w:t>
      </w:r>
    </w:p>
    <w:p w14:paraId="2FE61FA3">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You should state the statistical method of sample size computation and any required assumptions</w:t>
      </w:r>
    </w:p>
    <w:p w14:paraId="2A58711B">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If no explicit power analysis was used, you should describe how you decided what sample (replicate) size (number) to use</w:t>
      </w:r>
    </w:p>
    <w:p w14:paraId="1DF7D7D3">
      <w:pPr>
        <w:jc w:val="both"/>
        <w:rPr>
          <w:rFonts w:hint="default" w:ascii="Times New Roman" w:hAnsi="Times New Roman" w:cs="Times New Roman"/>
          <w:sz w:val="24"/>
          <w:szCs w:val="24"/>
        </w:rPr>
      </w:pPr>
    </w:p>
    <w:p w14:paraId="481F8A46">
      <w:pPr>
        <w:jc w:val="both"/>
        <w:rPr>
          <w:rFonts w:hint="default" w:ascii="Times New Roman" w:hAnsi="Times New Roman" w:cs="Times New Roman"/>
          <w:b/>
          <w:sz w:val="24"/>
          <w:szCs w:val="24"/>
        </w:rPr>
      </w:pPr>
      <w:r>
        <w:rPr>
          <w:rFonts w:hint="default" w:ascii="Times New Roman" w:hAnsi="Times New Roman" w:cs="Times New Roman"/>
          <w:b/>
          <w:sz w:val="24"/>
          <w:szCs w:val="24"/>
        </w:rPr>
        <w:t>Replicates</w:t>
      </w:r>
    </w:p>
    <w:p w14:paraId="7D088A59">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You should report how often each experiment was performed</w:t>
      </w:r>
    </w:p>
    <w:p w14:paraId="4BB08040">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You should include a definition of biological versus technical replication</w:t>
      </w:r>
    </w:p>
    <w:p w14:paraId="4D350445">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The data obtained should be provided and sufficient information should be provided to indicate the number of independent biological and/or technical replicates</w:t>
      </w:r>
    </w:p>
    <w:p w14:paraId="05F1AFEC">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If you encountered any outliers, you should describe how these were handled</w:t>
      </w:r>
    </w:p>
    <w:p w14:paraId="23F6B6F2">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Criteria for exclusion/inclusion of data should be clearly stated</w:t>
      </w:r>
    </w:p>
    <w:p w14:paraId="4AD51CF5">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High-throughput sequence data should be uploaded before submission, with a private link for reviewers provided (these are available from both GEO and ArrayExpress)</w:t>
      </w:r>
    </w:p>
    <w:p w14:paraId="6CC4C1F0">
      <w:pPr>
        <w:jc w:val="both"/>
        <w:rPr>
          <w:rFonts w:hint="default" w:ascii="Times New Roman" w:hAnsi="Times New Roman" w:cs="Times New Roman"/>
          <w:sz w:val="24"/>
          <w:szCs w:val="24"/>
        </w:rPr>
      </w:pPr>
    </w:p>
    <w:p w14:paraId="5350F358">
      <w:pPr>
        <w:jc w:val="both"/>
        <w:rPr>
          <w:rFonts w:hint="default" w:ascii="Times New Roman" w:hAnsi="Times New Roman" w:cs="Times New Roman"/>
          <w:b/>
          <w:sz w:val="24"/>
          <w:szCs w:val="24"/>
        </w:rPr>
      </w:pPr>
      <w:r>
        <w:rPr>
          <w:rFonts w:hint="default" w:ascii="Times New Roman" w:hAnsi="Times New Roman" w:cs="Times New Roman"/>
          <w:b/>
          <w:sz w:val="24"/>
          <w:szCs w:val="24"/>
        </w:rPr>
        <w:t>Statistical reporting</w:t>
      </w:r>
    </w:p>
    <w:p w14:paraId="63946B2E">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Statistical analysis methods should be described and justified</w:t>
      </w:r>
    </w:p>
    <w:p w14:paraId="4FE0B959">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Raw data should be presented in figures whenever informative to do so (typically when N per group is less than 10)</w:t>
      </w:r>
    </w:p>
    <w:p w14:paraId="7B336BE9">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Report exact p-values wherever possible alongside the summary statistics and 95% confidence intervals. These should be reported for all key questions and not only when the p-value is less than 0.05.</w:t>
      </w:r>
    </w:p>
    <w:p w14:paraId="1F75B295">
      <w:pPr>
        <w:jc w:val="both"/>
        <w:rPr>
          <w:rFonts w:hint="default" w:ascii="Times New Roman" w:hAnsi="Times New Roman" w:cs="Times New Roman"/>
          <w:sz w:val="24"/>
          <w:szCs w:val="24"/>
        </w:rPr>
      </w:pPr>
    </w:p>
    <w:p w14:paraId="0150C7CA">
      <w:pPr>
        <w:jc w:val="both"/>
        <w:rPr>
          <w:rFonts w:hint="default" w:ascii="Times New Roman" w:hAnsi="Times New Roman" w:cs="Times New Roman"/>
          <w:b/>
          <w:sz w:val="24"/>
          <w:szCs w:val="24"/>
        </w:rPr>
      </w:pPr>
      <w:r>
        <w:rPr>
          <w:rFonts w:hint="default" w:ascii="Times New Roman" w:hAnsi="Times New Roman" w:cs="Times New Roman"/>
          <w:b/>
          <w:sz w:val="24"/>
          <w:szCs w:val="24"/>
        </w:rPr>
        <w:t>Group allocation</w:t>
      </w:r>
    </w:p>
    <w:p w14:paraId="130D32B4">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Borders>
        <w:top w:val="none" w:sz="0" w:space="0"/>
        <w:left w:val="none" w:sz="0" w:space="0"/>
        <w:bottom w:val="none" w:sz="0" w:space="0"/>
        <w:right w:val="none" w:sz="0" w:space="0"/>
      </w:pgBorders>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A2F44E5"/>
    <w:rsid w:val="42E020C7"/>
    <w:rsid w:val="511E155D"/>
    <w:rsid w:val="6C886401"/>
    <w:rsid w:val="793367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1286</Words>
  <Characters>7839</Characters>
  <Lines>67</Lines>
  <Paragraphs>18</Paragraphs>
  <TotalTime>6</TotalTime>
  <ScaleCrop>false</ScaleCrop>
  <LinksUpToDate>false</LinksUpToDate>
  <CharactersWithSpaces>9012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jiangyalan</dc:creator>
  <cp:lastModifiedBy>your牛轧糖</cp:lastModifiedBy>
  <dcterms:modified xsi:type="dcterms:W3CDTF">2024-12-01T16:36:34Z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0F1F499CE6F041558CA2D6FFBD6444EF_13</vt:lpwstr>
  </property>
</Properties>
</file>