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08B2" w14:textId="6A92FE16" w:rsidR="00F678D4" w:rsidRPr="005871C2" w:rsidRDefault="00F678D4" w:rsidP="00F678D4">
      <w:pPr>
        <w:rPr>
          <w:b/>
          <w:bCs/>
        </w:rPr>
      </w:pPr>
      <w:r w:rsidRPr="00680FA0">
        <w:rPr>
          <w:b/>
          <w:bCs/>
        </w:rPr>
        <w:t xml:space="preserve">Appendix </w:t>
      </w:r>
      <w:r>
        <w:rPr>
          <w:b/>
          <w:bCs/>
        </w:rPr>
        <w:t>2</w:t>
      </w:r>
      <w:r w:rsidRPr="00680FA0">
        <w:rPr>
          <w:b/>
          <w:bCs/>
        </w:rPr>
        <w:t xml:space="preserve"> – </w:t>
      </w:r>
      <w:r>
        <w:rPr>
          <w:b/>
          <w:bCs/>
        </w:rPr>
        <w:t>Supplementary File 3</w:t>
      </w:r>
    </w:p>
    <w:p w14:paraId="1D0B9505" w14:textId="77777777" w:rsidR="00F678D4" w:rsidRDefault="00F678D4" w:rsidP="00F678D4"/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985"/>
        <w:gridCol w:w="2160"/>
        <w:gridCol w:w="1260"/>
        <w:gridCol w:w="4860"/>
      </w:tblGrid>
      <w:tr w:rsidR="00F678D4" w:rsidRPr="006B1A94" w14:paraId="66BC0B94" w14:textId="77777777" w:rsidTr="00B876A7">
        <w:trPr>
          <w:trHeight w:val="305"/>
        </w:trPr>
        <w:tc>
          <w:tcPr>
            <w:tcW w:w="985" w:type="dxa"/>
          </w:tcPr>
          <w:p w14:paraId="60609A23" w14:textId="77777777" w:rsidR="00F678D4" w:rsidRPr="00861DA4" w:rsidRDefault="00F678D4" w:rsidP="00B876A7">
            <w:pPr>
              <w:jc w:val="center"/>
              <w:rPr>
                <w:rFonts w:ascii="Calibri" w:eastAsia="PMingLiU" w:hAnsi="Calibri" w:cs="Times New Roman"/>
                <w:b/>
                <w:bCs/>
                <w:sz w:val="20"/>
                <w:szCs w:val="20"/>
              </w:rPr>
            </w:pPr>
            <w:r w:rsidRPr="00861DA4">
              <w:rPr>
                <w:rFonts w:ascii="Calibri" w:eastAsia="PMingLiU" w:hAnsi="Calibri" w:cs="Times New Roman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2160" w:type="dxa"/>
          </w:tcPr>
          <w:p w14:paraId="750608D4" w14:textId="77777777" w:rsidR="00F678D4" w:rsidRPr="00861DA4" w:rsidRDefault="00F678D4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 w:rsidRPr="00861DA4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260" w:type="dxa"/>
          </w:tcPr>
          <w:p w14:paraId="038D9E3C" w14:textId="77777777" w:rsidR="00F678D4" w:rsidRPr="006B1A94" w:rsidDel="00861DA4" w:rsidRDefault="00F678D4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4860" w:type="dxa"/>
          </w:tcPr>
          <w:p w14:paraId="6AFC28F4" w14:textId="77777777" w:rsidR="00F678D4" w:rsidRPr="00861DA4" w:rsidRDefault="00F678D4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 w:rsidRPr="00861DA4">
              <w:rPr>
                <w:b/>
                <w:bCs/>
                <w:sz w:val="20"/>
                <w:szCs w:val="20"/>
              </w:rPr>
              <w:t>Source</w:t>
            </w:r>
          </w:p>
        </w:tc>
      </w:tr>
      <w:tr w:rsidR="00F678D4" w:rsidRPr="006B1A94" w14:paraId="551B0145" w14:textId="77777777" w:rsidTr="00B876A7">
        <w:tc>
          <w:tcPr>
            <w:tcW w:w="985" w:type="dxa"/>
            <w:shd w:val="clear" w:color="auto" w:fill="auto"/>
          </w:tcPr>
          <w:p w14:paraId="57151F2E" w14:textId="77777777" w:rsidR="00F678D4" w:rsidRPr="006B1A94" w:rsidRDefault="00F678D4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605A0F8F" w14:textId="77777777" w:rsidR="00F678D4" w:rsidRPr="006B1A94" w:rsidRDefault="00F678D4" w:rsidP="00B876A7">
            <w:pPr>
              <w:rPr>
                <w:color w:val="000000" w:themeColor="text1"/>
                <w:sz w:val="20"/>
                <w:szCs w:val="20"/>
              </w:rPr>
            </w:pPr>
            <w:r w:rsidRPr="006B1A94">
              <w:rPr>
                <w:color w:val="000000" w:themeColor="text1"/>
                <w:sz w:val="20"/>
                <w:szCs w:val="20"/>
              </w:rPr>
              <w:t>mRNA degradation rate (1/min)</w:t>
            </w:r>
          </w:p>
        </w:tc>
        <w:tc>
          <w:tcPr>
            <w:tcW w:w="1260" w:type="dxa"/>
            <w:shd w:val="clear" w:color="auto" w:fill="auto"/>
          </w:tcPr>
          <w:p w14:paraId="7A13D7B5" w14:textId="77777777" w:rsidR="00F678D4" w:rsidRPr="006B1A94" w:rsidRDefault="00F678D4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964</w:t>
            </w:r>
          </w:p>
        </w:tc>
        <w:tc>
          <w:tcPr>
            <w:tcW w:w="4860" w:type="dxa"/>
            <w:shd w:val="clear" w:color="auto" w:fill="auto"/>
          </w:tcPr>
          <w:p w14:paraId="66473722" w14:textId="77777777" w:rsidR="00F678D4" w:rsidRPr="006B1A94" w:rsidRDefault="00F678D4" w:rsidP="00B8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ZOTERO_ITEM CSL_CITATION {"citationID":"2S7UeKUN","properties":{"formattedCitation":"(Balakrishnan et al., 2022)","plainCitation":"(Balakrishnan et al., 2022)","noteIndex":0},"citationItems":[{"id":709,"uris":["http://zotero.org/groups/4731724/items/68HY8SY6"],"itemData":{"id":709,"type":"article-journal","abstract":"Protein concentrations are set by a complex interplay between gene-specific regulatory processes and systemic factors, including cell volume and shared gene expression machineries. Elucidating this interplay is crucial for discerning and designing gene regulatory systems. We quantitatively characterized gene-specific and systemic factors that affect transcription and translation genome-wide for Escherichia coli across many conditions. The results revealed two design principles that make regulation of gene expression insulated from concentrations of shared machineries: RNA polymerase activity is fine-tuned to match translational output, and translational characteristics are similar across most messenger RNAs (mRNAs). Consequently, in bacteria, protein concentration is set primarily at the promoter level. A simple mathematical formula relates promoter activities and protein concentrations across growth conditions, enabling quantitative inference of gene regulation from omics data.","container-title":"Science","DOI":"10.1126/science.abk2066","issue":"6624","note":"publisher: American Association for the Advancement of Science","page":"eabk2066","source":"science.org (Atypon)","title":"Principles of gene regulation quantitatively connect DNA to RNA and proteins in bacteria","volume":"378","author":[{"family":"Balakrishnan","given":"Rohan"},{"family":"Mori","given":"Matteo"},{"family":"Segota","given":"Igor"},{"family":"Zhang","given":"Zhongge"},{"family":"Aebersold","given":"Ruedi"},{"family":"Ludwig","given":"Christina"},{"family":"Hwa","given":"Terence"}],"issued":{"date-parts":[["2022",12,9]]}}}],"schema":"https://github.com/citation-style-language/schema/raw/master/csl-citation.json"}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(Balakrishnan et al., 2022)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678D4" w:rsidRPr="006B1A94" w14:paraId="7C5A2B6C" w14:textId="77777777" w:rsidTr="00B876A7">
        <w:tc>
          <w:tcPr>
            <w:tcW w:w="985" w:type="dxa"/>
          </w:tcPr>
          <w:p w14:paraId="080C9FD1" w14:textId="77777777" w:rsidR="00F678D4" w:rsidRPr="006B1A94" w:rsidRDefault="00000000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2160" w:type="dxa"/>
          </w:tcPr>
          <w:p w14:paraId="675BD00B" w14:textId="77777777" w:rsidR="00F678D4" w:rsidRPr="006B1A94" w:rsidRDefault="00F678D4" w:rsidP="00B876A7">
            <w:pPr>
              <w:rPr>
                <w:color w:val="000000" w:themeColor="text1"/>
                <w:sz w:val="20"/>
                <w:szCs w:val="20"/>
              </w:rPr>
            </w:pPr>
            <w:r w:rsidRPr="006B1A94">
              <w:rPr>
                <w:color w:val="000000" w:themeColor="text1"/>
                <w:sz w:val="20"/>
                <w:szCs w:val="20"/>
              </w:rPr>
              <w:t>mRNA lifetime</w:t>
            </w:r>
          </w:p>
          <w:p w14:paraId="48491BE6" w14:textId="77777777" w:rsidR="00F678D4" w:rsidRPr="006B1A94" w:rsidRDefault="00F678D4" w:rsidP="00B876A7">
            <w:pPr>
              <w:rPr>
                <w:color w:val="000000" w:themeColor="text1"/>
                <w:sz w:val="20"/>
                <w:szCs w:val="20"/>
              </w:rPr>
            </w:pPr>
            <w:r w:rsidRPr="006B1A94">
              <w:rPr>
                <w:color w:val="000000" w:themeColor="text1"/>
                <w:sz w:val="20"/>
                <w:szCs w:val="20"/>
              </w:rPr>
              <w:t>(min)</w:t>
            </w:r>
          </w:p>
        </w:tc>
        <w:tc>
          <w:tcPr>
            <w:tcW w:w="1260" w:type="dxa"/>
          </w:tcPr>
          <w:p w14:paraId="37C02198" w14:textId="77777777" w:rsidR="00F678D4" w:rsidRPr="006B1A94" w:rsidRDefault="00F678D4" w:rsidP="00B8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4860" w:type="dxa"/>
          </w:tcPr>
          <w:p w14:paraId="60D5924B" w14:textId="77777777" w:rsidR="00F678D4" w:rsidRPr="006B1A94" w:rsidRDefault="00F678D4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Calculated by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  <m:t>τ</m:t>
                  </m:r>
                </m:e>
                <m:sub>
                  <m: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  <m:t>d</m:t>
                  </m:r>
                </m:sub>
              </m:sSub>
              <m:r>
                <w:rPr>
                  <w:rFonts w:ascii="Cambria Math" w:eastAsia="PMingLiU" w:hAnsi="Cambria Math" w:cs="Times New Roman"/>
                  <w:sz w:val="20"/>
                  <w:szCs w:val="20"/>
                </w:rPr>
                <m:t>=1/</m:t>
              </m:r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oMath>
          </w:p>
        </w:tc>
      </w:tr>
      <w:tr w:rsidR="00F678D4" w:rsidRPr="006B1A94" w14:paraId="1D1FB8B6" w14:textId="77777777" w:rsidTr="00B876A7">
        <w:tc>
          <w:tcPr>
            <w:tcW w:w="985" w:type="dxa"/>
          </w:tcPr>
          <w:p w14:paraId="2A40C8D2" w14:textId="77777777" w:rsidR="00F678D4" w:rsidRPr="006B1A94" w:rsidRDefault="00000000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PMingLiU" w:hAnsi="Cambria Math" w:cs="Times New Roman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w:rPr>
                        <w:rFonts w:ascii="Cambria Math" w:eastAsia="PMingLiU" w:hAnsi="Cambria Math" w:cs="Times New Roman"/>
                        <w:sz w:val="20"/>
                        <w:szCs w:val="20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2160" w:type="dxa"/>
          </w:tcPr>
          <w:p w14:paraId="1264DA10" w14:textId="77777777" w:rsidR="00F678D4" w:rsidRPr="006B1A94" w:rsidRDefault="00F678D4" w:rsidP="00B876A7">
            <w:pPr>
              <w:rPr>
                <w:color w:val="000000" w:themeColor="text1"/>
                <w:sz w:val="20"/>
                <w:szCs w:val="20"/>
              </w:rPr>
            </w:pPr>
            <w:r w:rsidRPr="006B1A94">
              <w:rPr>
                <w:color w:val="000000" w:themeColor="text1"/>
                <w:sz w:val="20"/>
                <w:szCs w:val="20"/>
              </w:rPr>
              <w:t>mRNA half life</w:t>
            </w:r>
          </w:p>
          <w:p w14:paraId="420E4D03" w14:textId="77777777" w:rsidR="00F678D4" w:rsidRPr="006B1A94" w:rsidRDefault="00F678D4" w:rsidP="00B876A7">
            <w:pPr>
              <w:rPr>
                <w:color w:val="000000" w:themeColor="text1"/>
                <w:sz w:val="20"/>
                <w:szCs w:val="20"/>
              </w:rPr>
            </w:pPr>
            <w:r w:rsidRPr="006B1A94">
              <w:rPr>
                <w:color w:val="000000" w:themeColor="text1"/>
                <w:sz w:val="20"/>
                <w:szCs w:val="20"/>
              </w:rPr>
              <w:t>(min)</w:t>
            </w:r>
          </w:p>
        </w:tc>
        <w:tc>
          <w:tcPr>
            <w:tcW w:w="1260" w:type="dxa"/>
          </w:tcPr>
          <w:p w14:paraId="39AD4495" w14:textId="77777777" w:rsidR="00F678D4" w:rsidRPr="006B1A94" w:rsidRDefault="00F678D4" w:rsidP="00B8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4860" w:type="dxa"/>
          </w:tcPr>
          <w:p w14:paraId="472CCF76" w14:textId="77777777" w:rsidR="00F678D4" w:rsidRPr="006B1A94" w:rsidRDefault="00F678D4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Calculated by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  <m:t>τ</m:t>
                  </m:r>
                </m:e>
                <m:sub>
                  <m: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  <m:t>H</m:t>
                  </m:r>
                </m:sub>
              </m:sSub>
              <m:r>
                <w:rPr>
                  <w:rFonts w:ascii="Cambria Math" w:eastAsia="PMingLiU" w:hAnsi="Cambria Math" w:cs="Times New Roman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  <m:t>(log</m:t>
                  </m:r>
                </m:fName>
                <m:e>
                  <m:r>
                    <w:rPr>
                      <w:rFonts w:ascii="Cambria Math" w:eastAsia="PMingLiU" w:hAnsi="Cambria Math" w:cs="Times New Roman"/>
                      <w:sz w:val="20"/>
                      <w:szCs w:val="20"/>
                    </w:rPr>
                    <m:t>2</m:t>
                  </m:r>
                </m:e>
              </m:func>
              <m:r>
                <w:rPr>
                  <w:rFonts w:ascii="Cambria Math" w:eastAsia="PMingLiU" w:hAnsi="Cambria Math" w:cs="Times New Roman"/>
                  <w:sz w:val="20"/>
                  <w:szCs w:val="20"/>
                </w:rPr>
                <m:t>)/</m:t>
              </m:r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oMath>
          </w:p>
        </w:tc>
      </w:tr>
    </w:tbl>
    <w:p w14:paraId="64FDE599" w14:textId="77777777" w:rsidR="00F678D4" w:rsidRDefault="00F678D4" w:rsidP="00F678D4">
      <w:pPr>
        <w:rPr>
          <w:color w:val="000000" w:themeColor="text1"/>
        </w:rPr>
      </w:pPr>
    </w:p>
    <w:p w14:paraId="7B5E035B" w14:textId="77777777" w:rsidR="00F678D4" w:rsidRDefault="00F678D4" w:rsidP="00F678D4">
      <w:pPr>
        <w:rPr>
          <w:color w:val="000000" w:themeColor="text1"/>
        </w:rPr>
      </w:pPr>
    </w:p>
    <w:p w14:paraId="60B3C606" w14:textId="77777777" w:rsidR="00F94BDB" w:rsidRDefault="00F94BDB"/>
    <w:sectPr w:rsidR="00F94BDB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D4"/>
    <w:rsid w:val="000B46A5"/>
    <w:rsid w:val="00476CE8"/>
    <w:rsid w:val="00564175"/>
    <w:rsid w:val="005E78D4"/>
    <w:rsid w:val="006A0451"/>
    <w:rsid w:val="00751799"/>
    <w:rsid w:val="00EA03B1"/>
    <w:rsid w:val="00F678D4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7E94A"/>
  <w15:chartTrackingRefBased/>
  <w15:docId w15:val="{F5D37CA0-6DA0-CE4B-BF1A-572BDEA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D4"/>
    <w:rPr>
      <w:rFonts w:eastAsiaTheme="minorEastAsia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8D4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8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6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8D4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67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8D4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F67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8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78D4"/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2</cp:revision>
  <dcterms:created xsi:type="dcterms:W3CDTF">2024-10-27T21:43:00Z</dcterms:created>
  <dcterms:modified xsi:type="dcterms:W3CDTF">2024-10-28T03:08:00Z</dcterms:modified>
</cp:coreProperties>
</file>