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7C0584" w14:textId="51D2546F" w:rsidR="008B3951" w:rsidRPr="00317E67" w:rsidRDefault="008B3951" w:rsidP="008B3951">
      <w:r w:rsidRPr="00317E67">
        <w:rPr>
          <w:b/>
          <w:bCs/>
        </w:rPr>
        <w:t xml:space="preserve">Appendix </w:t>
      </w:r>
      <w:r>
        <w:rPr>
          <w:b/>
          <w:bCs/>
        </w:rPr>
        <w:t>2</w:t>
      </w:r>
      <w:r w:rsidRPr="00317E67">
        <w:rPr>
          <w:b/>
          <w:bCs/>
        </w:rPr>
        <w:t xml:space="preserve"> – </w:t>
      </w:r>
      <w:r>
        <w:rPr>
          <w:b/>
          <w:bCs/>
        </w:rPr>
        <w:t>Supplementary File 1</w:t>
      </w:r>
      <w:r>
        <w:t xml:space="preserve"> </w:t>
      </w:r>
    </w:p>
    <w:p w14:paraId="4F92FC05" w14:textId="77777777" w:rsidR="00642803" w:rsidRDefault="00642803" w:rsidP="00642803"/>
    <w:tbl>
      <w:tblPr>
        <w:tblStyle w:val="TableGrid"/>
        <w:tblW w:w="9265" w:type="dxa"/>
        <w:tblLayout w:type="fixed"/>
        <w:tblLook w:val="04A0" w:firstRow="1" w:lastRow="0" w:firstColumn="1" w:lastColumn="0" w:noHBand="0" w:noVBand="1"/>
      </w:tblPr>
      <w:tblGrid>
        <w:gridCol w:w="985"/>
        <w:gridCol w:w="2430"/>
        <w:gridCol w:w="1260"/>
        <w:gridCol w:w="4590"/>
      </w:tblGrid>
      <w:tr w:rsidR="00642803" w:rsidRPr="006B1A94" w14:paraId="1DEF6CC3" w14:textId="77777777" w:rsidTr="00B876A7">
        <w:trPr>
          <w:trHeight w:val="341"/>
        </w:trPr>
        <w:tc>
          <w:tcPr>
            <w:tcW w:w="985" w:type="dxa"/>
          </w:tcPr>
          <w:p w14:paraId="54DB34DD" w14:textId="77777777" w:rsidR="00642803" w:rsidRPr="00861DA4" w:rsidRDefault="00642803" w:rsidP="00B876A7">
            <w:pPr>
              <w:jc w:val="center"/>
              <w:rPr>
                <w:rFonts w:ascii="Calibri" w:eastAsia="PMingLiU" w:hAnsi="Calibri" w:cs="Times New Roman"/>
                <w:b/>
                <w:bCs/>
                <w:sz w:val="20"/>
                <w:szCs w:val="20"/>
              </w:rPr>
            </w:pPr>
            <w:r w:rsidRPr="00861DA4">
              <w:rPr>
                <w:rFonts w:ascii="Calibri" w:eastAsia="PMingLiU" w:hAnsi="Calibri" w:cs="Times New Roman"/>
                <w:b/>
                <w:bCs/>
                <w:sz w:val="20"/>
                <w:szCs w:val="20"/>
              </w:rPr>
              <w:t>Symbol</w:t>
            </w:r>
          </w:p>
        </w:tc>
        <w:tc>
          <w:tcPr>
            <w:tcW w:w="2430" w:type="dxa"/>
          </w:tcPr>
          <w:p w14:paraId="7887F572" w14:textId="77777777" w:rsidR="00642803" w:rsidRPr="00861DA4" w:rsidRDefault="00642803" w:rsidP="00B876A7">
            <w:pPr>
              <w:jc w:val="center"/>
              <w:rPr>
                <w:b/>
                <w:bCs/>
                <w:sz w:val="20"/>
                <w:szCs w:val="20"/>
              </w:rPr>
            </w:pPr>
            <w:r w:rsidRPr="00861DA4">
              <w:rPr>
                <w:b/>
                <w:bCs/>
                <w:sz w:val="20"/>
                <w:szCs w:val="20"/>
              </w:rPr>
              <w:t>Parameter</w:t>
            </w:r>
          </w:p>
        </w:tc>
        <w:tc>
          <w:tcPr>
            <w:tcW w:w="1260" w:type="dxa"/>
          </w:tcPr>
          <w:p w14:paraId="12E01D96" w14:textId="77777777" w:rsidR="00642803" w:rsidRPr="006B1A94" w:rsidDel="00861DA4" w:rsidRDefault="00642803" w:rsidP="00B876A7">
            <w:pPr>
              <w:jc w:val="center"/>
              <w:rPr>
                <w:b/>
                <w:bCs/>
                <w:sz w:val="20"/>
                <w:szCs w:val="20"/>
              </w:rPr>
            </w:pPr>
            <w:r>
              <w:rPr>
                <w:b/>
                <w:bCs/>
                <w:sz w:val="20"/>
                <w:szCs w:val="20"/>
              </w:rPr>
              <w:t>Value</w:t>
            </w:r>
          </w:p>
        </w:tc>
        <w:tc>
          <w:tcPr>
            <w:tcW w:w="4590" w:type="dxa"/>
          </w:tcPr>
          <w:p w14:paraId="3ADBD10B" w14:textId="77777777" w:rsidR="00642803" w:rsidRPr="00861DA4" w:rsidRDefault="00642803" w:rsidP="00B876A7">
            <w:pPr>
              <w:jc w:val="center"/>
              <w:rPr>
                <w:b/>
                <w:bCs/>
                <w:sz w:val="20"/>
                <w:szCs w:val="20"/>
              </w:rPr>
            </w:pPr>
            <w:r w:rsidRPr="00861DA4">
              <w:rPr>
                <w:b/>
                <w:bCs/>
                <w:sz w:val="20"/>
                <w:szCs w:val="20"/>
              </w:rPr>
              <w:t>Source</w:t>
            </w:r>
          </w:p>
        </w:tc>
      </w:tr>
      <w:tr w:rsidR="00642803" w:rsidRPr="006B1A94" w14:paraId="38BBC911" w14:textId="77777777" w:rsidTr="00B876A7">
        <w:tc>
          <w:tcPr>
            <w:tcW w:w="985" w:type="dxa"/>
            <w:shd w:val="clear" w:color="auto" w:fill="FFFFFF" w:themeFill="background1"/>
          </w:tcPr>
          <w:p w14:paraId="052C3F8C" w14:textId="77777777" w:rsidR="00642803" w:rsidRPr="006B1A94" w:rsidRDefault="00642803" w:rsidP="00B876A7">
            <w:pPr>
              <w:rPr>
                <w:rFonts w:ascii="Calibri" w:eastAsia="PMingLiU" w:hAnsi="Calibri" w:cs="Times New Roman"/>
                <w:sz w:val="20"/>
                <w:szCs w:val="20"/>
              </w:rPr>
            </w:pPr>
            <m:oMathPara>
              <m:oMath>
                <m:r>
                  <w:rPr>
                    <w:rFonts w:ascii="Cambria Math" w:eastAsia="PMingLiU" w:hAnsi="Cambria Math" w:cs="Times New Roman"/>
                    <w:sz w:val="20"/>
                    <w:szCs w:val="20"/>
                  </w:rPr>
                  <m:t>X</m:t>
                </m:r>
              </m:oMath>
            </m:oMathPara>
          </w:p>
        </w:tc>
        <w:tc>
          <w:tcPr>
            <w:tcW w:w="2430" w:type="dxa"/>
            <w:shd w:val="clear" w:color="auto" w:fill="FFFFFF" w:themeFill="background1"/>
          </w:tcPr>
          <w:p w14:paraId="0D8E9503" w14:textId="77777777" w:rsidR="00642803" w:rsidRPr="006B1A94" w:rsidRDefault="00642803" w:rsidP="00B876A7">
            <w:pPr>
              <w:rPr>
                <w:sz w:val="20"/>
                <w:szCs w:val="20"/>
              </w:rPr>
            </w:pPr>
            <w:r>
              <w:rPr>
                <w:sz w:val="20"/>
                <w:szCs w:val="20"/>
              </w:rPr>
              <w:t>N</w:t>
            </w:r>
            <w:r w:rsidRPr="006B1A94">
              <w:rPr>
                <w:sz w:val="20"/>
                <w:szCs w:val="20"/>
              </w:rPr>
              <w:t>umber of mRNA</w:t>
            </w:r>
            <w:r>
              <w:rPr>
                <w:sz w:val="20"/>
                <w:szCs w:val="20"/>
              </w:rPr>
              <w:t>s</w:t>
            </w:r>
            <w:r w:rsidRPr="006B1A94">
              <w:rPr>
                <w:sz w:val="20"/>
                <w:szCs w:val="20"/>
              </w:rPr>
              <w:t xml:space="preserve"> </w:t>
            </w:r>
          </w:p>
          <w:p w14:paraId="31F73B94" w14:textId="77777777" w:rsidR="00642803" w:rsidRPr="006B1A94" w:rsidRDefault="00642803" w:rsidP="00B876A7">
            <w:pPr>
              <w:rPr>
                <w:sz w:val="20"/>
                <w:szCs w:val="20"/>
              </w:rPr>
            </w:pPr>
            <w:r w:rsidRPr="006B1A94">
              <w:rPr>
                <w:sz w:val="20"/>
                <w:szCs w:val="20"/>
              </w:rPr>
              <w:t>(per cell)</w:t>
            </w:r>
          </w:p>
        </w:tc>
        <w:tc>
          <w:tcPr>
            <w:tcW w:w="1260" w:type="dxa"/>
            <w:shd w:val="clear" w:color="auto" w:fill="FFFFFF" w:themeFill="background1"/>
          </w:tcPr>
          <w:p w14:paraId="74B56C09" w14:textId="77777777" w:rsidR="00642803" w:rsidRPr="006B1A94" w:rsidRDefault="00642803" w:rsidP="00B876A7">
            <w:pPr>
              <w:rPr>
                <w:sz w:val="20"/>
                <w:szCs w:val="20"/>
              </w:rPr>
            </w:pPr>
            <w:r w:rsidRPr="006B1A94">
              <w:rPr>
                <w:sz w:val="20"/>
                <w:szCs w:val="20"/>
              </w:rPr>
              <w:t>2800</w:t>
            </w:r>
          </w:p>
        </w:tc>
        <w:tc>
          <w:tcPr>
            <w:tcW w:w="4590" w:type="dxa"/>
            <w:shd w:val="clear" w:color="auto" w:fill="FFFFFF" w:themeFill="background1"/>
          </w:tcPr>
          <w:p w14:paraId="6EFE9C36" w14:textId="77777777" w:rsidR="00642803" w:rsidRPr="006B1A94" w:rsidRDefault="00642803" w:rsidP="00B876A7">
            <w:pPr>
              <w:rPr>
                <w:sz w:val="20"/>
                <w:szCs w:val="20"/>
              </w:rPr>
            </w:pPr>
            <w:r>
              <w:rPr>
                <w:sz w:val="20"/>
                <w:szCs w:val="20"/>
              </w:rPr>
              <w:t>E</w:t>
            </w:r>
            <w:r w:rsidRPr="006B1A94">
              <w:rPr>
                <w:sz w:val="20"/>
                <w:szCs w:val="20"/>
              </w:rPr>
              <w:t xml:space="preserve">stimated from </w:t>
            </w:r>
            <w:r w:rsidRPr="006B1A94">
              <w:rPr>
                <w:sz w:val="20"/>
                <w:szCs w:val="20"/>
              </w:rPr>
              <w:fldChar w:fldCharType="begin"/>
            </w:r>
            <w:r>
              <w:rPr>
                <w:sz w:val="20"/>
                <w:szCs w:val="20"/>
              </w:rPr>
              <w:instrText xml:space="preserve"> ADDIN ZOTERO_ITEM CSL_CITATION {"citationID":"i4cxBOyn","properties":{"formattedCitation":"(Bremer and Dennis, 2008)","plainCitation":"(Bremer and Dennis, 2008)","noteIndex":0},"citationItems":[{"id":696,"uris":["http://zotero.org/groups/4731724/items/LRIWCE49"],"itemData":{"id":696,"type":"article-journal","abstract":"This review begins by briefly presenting the history of research on the chemical composition and other parameters of cells of E. coli and S. enterica at different exponential growth rates. Studies have allowed us to determine the in vivo strength of promoters and have allowed us to distinguish between factor-dependent transcriptional control of the promoter and changes in promoter activity due to changes in the concentration of free functional RNA polymerase associated with different growth conditions. The total, or bulk, amounts of RNA and protein are linked to the growth rate, because most bacterial RNA is ribosomal RNA (rRNA). Since ribosomes are required for protein synthesis, their number and their rate of function determine the rate of protein synthesis and cytoplasmic mass accumulation. Many mRNAs made in the presence of amino acids have strong ribosome binding sites whose presence reduces the expression of all other active genes. This implies that there can be profound differences in the spectrum of gene activities in cultures grown in different media that produce the same growth rate. Five classes of growth-related parameters that are generally useful in describing or establishing the macromolecular composition of bacterial cultures are described in detail in this review. A number of equations have been reported that describe the macromolecular composition of an average cell in an exponential culture as a function of the culture doubling time and five additional parameters: the C- and D-periods, protein per origin (PO), ribosome activity, and peptide chain elongation rate.","container-title":"EcoSal Plus","DOI":"10.1128/ecosal.5.2.3","ISSN":"2324-6200","issue":"1","journalAbbreviation":"EcoSal Plus","language":"eng","note":"PMID: 26443740","source":"PubMed","title":"Modulation of Chemical Composition and Other Parameters of the Cell at Different Exponential Growth Rates","volume":"3","author":[{"family":"Bremer","given":"Hans"},{"family":"Dennis","given":"Patrick P."}],"issued":{"date-parts":[["2008",9]]}}}],"schema":"https://github.com/citation-style-language/schema/raw/master/csl-citation.json"} </w:instrText>
            </w:r>
            <w:r w:rsidRPr="006B1A94">
              <w:rPr>
                <w:sz w:val="20"/>
                <w:szCs w:val="20"/>
              </w:rPr>
              <w:fldChar w:fldCharType="separate"/>
            </w:r>
            <w:r w:rsidRPr="006B1A94">
              <w:rPr>
                <w:noProof/>
                <w:sz w:val="20"/>
                <w:szCs w:val="20"/>
              </w:rPr>
              <w:t>(Bremer and Dennis, 2008)</w:t>
            </w:r>
            <w:r w:rsidRPr="006B1A94">
              <w:rPr>
                <w:sz w:val="20"/>
                <w:szCs w:val="20"/>
              </w:rPr>
              <w:fldChar w:fldCharType="end"/>
            </w:r>
          </w:p>
        </w:tc>
      </w:tr>
      <w:tr w:rsidR="00642803" w:rsidRPr="006B1A94" w14:paraId="49709579" w14:textId="77777777" w:rsidTr="00B876A7">
        <w:tc>
          <w:tcPr>
            <w:tcW w:w="985" w:type="dxa"/>
          </w:tcPr>
          <w:p w14:paraId="171D57FC" w14:textId="77777777" w:rsidR="00642803" w:rsidRPr="006B1A94" w:rsidRDefault="00642803" w:rsidP="00B876A7">
            <w:pPr>
              <w:rPr>
                <w:rFonts w:ascii="Calibri" w:eastAsia="PMingLiU" w:hAnsi="Calibri" w:cs="Times New Roman"/>
                <w:sz w:val="20"/>
                <w:szCs w:val="20"/>
              </w:rPr>
            </w:pPr>
            <m:oMathPara>
              <m:oMath>
                <m:r>
                  <w:rPr>
                    <w:rFonts w:ascii="Cambria Math" w:eastAsia="PMingLiU" w:hAnsi="Cambria Math" w:cs="Times New Roman"/>
                    <w:sz w:val="20"/>
                    <w:szCs w:val="20"/>
                  </w:rPr>
                  <m:t>Y</m:t>
                </m:r>
              </m:oMath>
            </m:oMathPara>
          </w:p>
        </w:tc>
        <w:tc>
          <w:tcPr>
            <w:tcW w:w="2430" w:type="dxa"/>
          </w:tcPr>
          <w:p w14:paraId="5BC52AF9" w14:textId="77777777" w:rsidR="00642803" w:rsidRPr="006B1A94" w:rsidRDefault="00642803" w:rsidP="00B876A7">
            <w:pPr>
              <w:rPr>
                <w:sz w:val="20"/>
                <w:szCs w:val="20"/>
              </w:rPr>
            </w:pPr>
            <w:r>
              <w:rPr>
                <w:sz w:val="20"/>
                <w:szCs w:val="20"/>
              </w:rPr>
              <w:t>N</w:t>
            </w:r>
            <w:r w:rsidRPr="006B1A94">
              <w:rPr>
                <w:sz w:val="20"/>
                <w:szCs w:val="20"/>
              </w:rPr>
              <w:t>umber of protein</w:t>
            </w:r>
            <w:r>
              <w:rPr>
                <w:sz w:val="20"/>
                <w:szCs w:val="20"/>
              </w:rPr>
              <w:t>s</w:t>
            </w:r>
            <w:r w:rsidRPr="006B1A94">
              <w:rPr>
                <w:sz w:val="20"/>
                <w:szCs w:val="20"/>
              </w:rPr>
              <w:t xml:space="preserve"> </w:t>
            </w:r>
          </w:p>
          <w:p w14:paraId="360E76C9" w14:textId="77777777" w:rsidR="00642803" w:rsidRPr="006B1A94" w:rsidRDefault="00642803" w:rsidP="00B876A7">
            <w:pPr>
              <w:rPr>
                <w:sz w:val="20"/>
                <w:szCs w:val="20"/>
              </w:rPr>
            </w:pPr>
            <w:r w:rsidRPr="006B1A94">
              <w:rPr>
                <w:sz w:val="20"/>
                <w:szCs w:val="20"/>
              </w:rPr>
              <w:t>(10</w:t>
            </w:r>
            <w:r w:rsidRPr="006B1A94">
              <w:rPr>
                <w:rFonts w:cs="Times New Roman (Body CS)"/>
                <w:sz w:val="20"/>
                <w:szCs w:val="20"/>
                <w:vertAlign w:val="superscript"/>
              </w:rPr>
              <w:t>6</w:t>
            </w:r>
            <w:r w:rsidRPr="006B1A94">
              <w:rPr>
                <w:sz w:val="20"/>
                <w:szCs w:val="20"/>
              </w:rPr>
              <w:t>/cell)</w:t>
            </w:r>
          </w:p>
        </w:tc>
        <w:tc>
          <w:tcPr>
            <w:tcW w:w="1260" w:type="dxa"/>
          </w:tcPr>
          <w:p w14:paraId="63EFDF2C" w14:textId="77777777" w:rsidR="00642803" w:rsidRPr="006B1A94" w:rsidRDefault="00642803" w:rsidP="00B876A7">
            <w:pPr>
              <w:rPr>
                <w:sz w:val="20"/>
                <w:szCs w:val="20"/>
              </w:rPr>
            </w:pPr>
            <w:r w:rsidRPr="006B1A94">
              <w:rPr>
                <w:sz w:val="20"/>
                <w:szCs w:val="20"/>
              </w:rPr>
              <w:t>5.29</w:t>
            </w:r>
          </w:p>
        </w:tc>
        <w:tc>
          <w:tcPr>
            <w:tcW w:w="4590" w:type="dxa"/>
          </w:tcPr>
          <w:p w14:paraId="0451993E" w14:textId="77777777" w:rsidR="00642803" w:rsidRPr="006B1A94" w:rsidRDefault="00642803" w:rsidP="00B876A7">
            <w:pPr>
              <w:rPr>
                <w:sz w:val="20"/>
                <w:szCs w:val="20"/>
              </w:rPr>
            </w:pPr>
            <w:r>
              <w:rPr>
                <w:sz w:val="20"/>
                <w:szCs w:val="20"/>
              </w:rPr>
              <w:t>E</w:t>
            </w:r>
            <w:r w:rsidRPr="006B1A94">
              <w:rPr>
                <w:sz w:val="20"/>
                <w:szCs w:val="20"/>
              </w:rPr>
              <w:t xml:space="preserve">stimated from </w:t>
            </w:r>
            <w:r w:rsidRPr="006B1A94">
              <w:rPr>
                <w:sz w:val="20"/>
                <w:szCs w:val="20"/>
              </w:rPr>
              <w:fldChar w:fldCharType="begin"/>
            </w:r>
            <w:r>
              <w:rPr>
                <w:sz w:val="20"/>
                <w:szCs w:val="20"/>
              </w:rPr>
              <w:instrText xml:space="preserve"> ADDIN ZOTERO_ITEM CSL_CITATION {"citationID":"y8OCQy7F","properties":{"formattedCitation":"(Bremer and Dennis, 2008)","plainCitation":"(Bremer and Dennis, 2008)","noteIndex":0},"citationItems":[{"id":696,"uris":["http://zotero.org/groups/4731724/items/LRIWCE49"],"itemData":{"id":696,"type":"article-journal","abstract":"This review begins by briefly presenting the history of research on the chemical composition and other parameters of cells of E. coli and S. enterica at different exponential growth rates. Studies have allowed us to determine the in vivo strength of promoters and have allowed us to distinguish between factor-dependent transcriptional control of the promoter and changes in promoter activity due to changes in the concentration of free functional RNA polymerase associated with different growth conditions. The total, or bulk, amounts of RNA and protein are linked to the growth rate, because most bacterial RNA is ribosomal RNA (rRNA). Since ribosomes are required for protein synthesis, their number and their rate of function determine the rate of protein synthesis and cytoplasmic mass accumulation. Many mRNAs made in the presence of amino acids have strong ribosome binding sites whose presence reduces the expression of all other active genes. This implies that there can be profound differences in the spectrum of gene activities in cultures grown in different media that produce the same growth rate. Five classes of growth-related parameters that are generally useful in describing or establishing the macromolecular composition of bacterial cultures are described in detail in this review. A number of equations have been reported that describe the macromolecular composition of an average cell in an exponential culture as a function of the culture doubling time and five additional parameters: the C- and D-periods, protein per origin (PO), ribosome activity, and peptide chain elongation rate.","container-title":"EcoSal Plus","DOI":"10.1128/ecosal.5.2.3","ISSN":"2324-6200","issue":"1","journalAbbreviation":"EcoSal Plus","language":"eng","note":"PMID: 26443740","source":"PubMed","title":"Modulation of Chemical Composition and Other Parameters of the Cell at Different Exponential Growth Rates","volume":"3","author":[{"family":"Bremer","given":"Hans"},{"family":"Dennis","given":"Patrick P."}],"issued":{"date-parts":[["2008",9]]}}}],"schema":"https://github.com/citation-style-language/schema/raw/master/csl-citation.json"} </w:instrText>
            </w:r>
            <w:r w:rsidRPr="006B1A94">
              <w:rPr>
                <w:sz w:val="20"/>
                <w:szCs w:val="20"/>
              </w:rPr>
              <w:fldChar w:fldCharType="separate"/>
            </w:r>
            <w:r w:rsidRPr="006B1A94">
              <w:rPr>
                <w:noProof/>
                <w:sz w:val="20"/>
                <w:szCs w:val="20"/>
              </w:rPr>
              <w:t>(Bremer and Dennis, 2008)</w:t>
            </w:r>
            <w:r w:rsidRPr="006B1A94">
              <w:rPr>
                <w:sz w:val="20"/>
                <w:szCs w:val="20"/>
              </w:rPr>
              <w:fldChar w:fldCharType="end"/>
            </w:r>
          </w:p>
        </w:tc>
      </w:tr>
      <w:tr w:rsidR="00642803" w:rsidRPr="006B1A94" w14:paraId="5B1C85CF" w14:textId="77777777" w:rsidTr="00B876A7">
        <w:trPr>
          <w:trHeight w:val="611"/>
        </w:trPr>
        <w:tc>
          <w:tcPr>
            <w:tcW w:w="985" w:type="dxa"/>
            <w:tcBorders>
              <w:bottom w:val="single" w:sz="4" w:space="0" w:color="auto"/>
            </w:tcBorders>
            <w:shd w:val="clear" w:color="auto" w:fill="auto"/>
          </w:tcPr>
          <w:p w14:paraId="7F231467" w14:textId="77777777" w:rsidR="00642803" w:rsidRPr="006B1A94" w:rsidRDefault="00642803" w:rsidP="00B876A7">
            <w:pPr>
              <w:rPr>
                <w:rFonts w:ascii="Calibri" w:eastAsia="PMingLiU" w:hAnsi="Calibri" w:cs="Times New Roman"/>
                <w:sz w:val="20"/>
                <w:szCs w:val="20"/>
              </w:rPr>
            </w:pPr>
            <m:oMathPara>
              <m:oMath>
                <m:sSub>
                  <m:sSubPr>
                    <m:ctrlPr>
                      <w:rPr>
                        <w:rFonts w:ascii="Cambria Math" w:eastAsia="PMingLiU" w:hAnsi="Cambria Math" w:cs="Times New Roman"/>
                        <w:i/>
                        <w:sz w:val="20"/>
                        <w:szCs w:val="20"/>
                      </w:rPr>
                    </m:ctrlPr>
                  </m:sSubPr>
                  <m:e>
                    <m:r>
                      <w:rPr>
                        <w:rFonts w:ascii="Cambria Math" w:eastAsia="PMingLiU" w:hAnsi="Cambria Math" w:cs="Times New Roman"/>
                        <w:sz w:val="20"/>
                        <w:szCs w:val="20"/>
                      </w:rPr>
                      <m:t>X</m:t>
                    </m:r>
                  </m:e>
                  <m:sub>
                    <m:r>
                      <w:rPr>
                        <w:rFonts w:ascii="Cambria Math" w:eastAsia="PMingLiU" w:hAnsi="Cambria Math" w:cs="Times New Roman"/>
                        <w:sz w:val="20"/>
                        <w:szCs w:val="20"/>
                      </w:rPr>
                      <m:t>ini</m:t>
                    </m:r>
                  </m:sub>
                </m:sSub>
              </m:oMath>
            </m:oMathPara>
          </w:p>
        </w:tc>
        <w:tc>
          <w:tcPr>
            <w:tcW w:w="2430" w:type="dxa"/>
            <w:tcBorders>
              <w:bottom w:val="single" w:sz="4" w:space="0" w:color="auto"/>
            </w:tcBorders>
            <w:shd w:val="clear" w:color="auto" w:fill="auto"/>
          </w:tcPr>
          <w:p w14:paraId="7FD29E43" w14:textId="77777777" w:rsidR="00642803" w:rsidRPr="006B1A94" w:rsidRDefault="00642803" w:rsidP="00B876A7">
            <w:pPr>
              <w:rPr>
                <w:sz w:val="20"/>
                <w:szCs w:val="20"/>
              </w:rPr>
            </w:pPr>
            <w:r>
              <w:rPr>
                <w:sz w:val="20"/>
                <w:szCs w:val="20"/>
              </w:rPr>
              <w:t>N</w:t>
            </w:r>
            <w:r w:rsidRPr="006B1A94">
              <w:rPr>
                <w:sz w:val="20"/>
                <w:szCs w:val="20"/>
              </w:rPr>
              <w:t>umber of mRNA</w:t>
            </w:r>
            <w:r>
              <w:rPr>
                <w:sz w:val="20"/>
                <w:szCs w:val="20"/>
              </w:rPr>
              <w:t>s</w:t>
            </w:r>
            <w:r w:rsidRPr="006B1A94">
              <w:rPr>
                <w:sz w:val="20"/>
                <w:szCs w:val="20"/>
              </w:rPr>
              <w:t xml:space="preserve"> </w:t>
            </w:r>
          </w:p>
          <w:p w14:paraId="4E0E7171" w14:textId="77777777" w:rsidR="00642803" w:rsidRPr="006B1A94" w:rsidRDefault="00642803" w:rsidP="00B876A7">
            <w:pPr>
              <w:rPr>
                <w:sz w:val="20"/>
                <w:szCs w:val="20"/>
              </w:rPr>
            </w:pPr>
            <w:r w:rsidRPr="006B1A94">
              <w:rPr>
                <w:sz w:val="20"/>
                <w:szCs w:val="20"/>
              </w:rPr>
              <w:t xml:space="preserve">for a newborn cell </w:t>
            </w:r>
          </w:p>
        </w:tc>
        <w:tc>
          <w:tcPr>
            <w:tcW w:w="1260" w:type="dxa"/>
            <w:tcBorders>
              <w:bottom w:val="single" w:sz="4" w:space="0" w:color="auto"/>
            </w:tcBorders>
            <w:shd w:val="clear" w:color="auto" w:fill="auto"/>
          </w:tcPr>
          <w:p w14:paraId="1B22D4B2" w14:textId="77777777" w:rsidR="00642803" w:rsidRPr="006B1A94" w:rsidRDefault="00642803" w:rsidP="00B876A7">
            <w:pPr>
              <w:rPr>
                <w:sz w:val="20"/>
                <w:szCs w:val="20"/>
              </w:rPr>
            </w:pPr>
            <w:r w:rsidRPr="006B1A94">
              <w:rPr>
                <w:sz w:val="20"/>
                <w:szCs w:val="20"/>
              </w:rPr>
              <w:t>2020</w:t>
            </w:r>
          </w:p>
        </w:tc>
        <w:tc>
          <w:tcPr>
            <w:tcW w:w="4590" w:type="dxa"/>
            <w:tcBorders>
              <w:bottom w:val="single" w:sz="4" w:space="0" w:color="auto"/>
            </w:tcBorders>
            <w:shd w:val="clear" w:color="auto" w:fill="auto"/>
          </w:tcPr>
          <w:p w14:paraId="22465F92" w14:textId="77777777" w:rsidR="00642803" w:rsidRPr="006B1A94" w:rsidRDefault="00642803" w:rsidP="00B876A7">
            <w:pPr>
              <w:rPr>
                <w:sz w:val="20"/>
                <w:szCs w:val="20"/>
              </w:rPr>
            </w:pPr>
            <w:r w:rsidRPr="006B1A94">
              <w:rPr>
                <w:sz w:val="20"/>
                <w:szCs w:val="20"/>
              </w:rPr>
              <w:t xml:space="preserve">Calculated </w:t>
            </w:r>
            <w:r>
              <w:rPr>
                <w:sz w:val="20"/>
                <w:szCs w:val="20"/>
              </w:rPr>
              <w:t>as</w:t>
            </w:r>
          </w:p>
          <w:p w14:paraId="00CD32A5" w14:textId="77777777" w:rsidR="00642803" w:rsidRPr="006B1A94" w:rsidRDefault="00642803" w:rsidP="00B876A7">
            <w:pPr>
              <w:rPr>
                <w:sz w:val="20"/>
                <w:szCs w:val="20"/>
              </w:rPr>
            </w:pPr>
            <m:oMathPara>
              <m:oMathParaPr>
                <m:jc m:val="left"/>
              </m:oMathParaPr>
              <m:oMath>
                <m:sSub>
                  <m:sSubPr>
                    <m:ctrlPr>
                      <w:rPr>
                        <w:rFonts w:ascii="Cambria Math" w:eastAsia="PMingLiU" w:hAnsi="Cambria Math" w:cs="Times New Roman"/>
                        <w:i/>
                        <w:sz w:val="20"/>
                        <w:szCs w:val="20"/>
                      </w:rPr>
                    </m:ctrlPr>
                  </m:sSubPr>
                  <m:e>
                    <m:r>
                      <w:rPr>
                        <w:rFonts w:ascii="Cambria Math" w:eastAsia="PMingLiU" w:hAnsi="Cambria Math" w:cs="Times New Roman"/>
                        <w:sz w:val="20"/>
                        <w:szCs w:val="20"/>
                      </w:rPr>
                      <m:t>X</m:t>
                    </m:r>
                  </m:e>
                  <m:sub>
                    <m:r>
                      <w:rPr>
                        <w:rFonts w:ascii="Cambria Math" w:eastAsia="PMingLiU" w:hAnsi="Cambria Math" w:cs="Times New Roman"/>
                        <w:sz w:val="20"/>
                        <w:szCs w:val="20"/>
                      </w:rPr>
                      <m:t>ini</m:t>
                    </m:r>
                  </m:sub>
                </m:sSub>
                <m:r>
                  <w:rPr>
                    <w:rFonts w:ascii="Cambria Math" w:eastAsia="PMingLiU" w:hAnsi="Cambria Math" w:cs="Times New Roman"/>
                    <w:sz w:val="20"/>
                    <w:szCs w:val="20"/>
                  </w:rPr>
                  <m:t>=X/(2log2)</m:t>
                </m:r>
              </m:oMath>
            </m:oMathPara>
          </w:p>
        </w:tc>
      </w:tr>
      <w:tr w:rsidR="00642803" w:rsidRPr="006B1A94" w14:paraId="62DDC0C5" w14:textId="77777777" w:rsidTr="00B876A7">
        <w:tc>
          <w:tcPr>
            <w:tcW w:w="985" w:type="dxa"/>
            <w:tcBorders>
              <w:bottom w:val="single" w:sz="4" w:space="0" w:color="auto"/>
            </w:tcBorders>
            <w:shd w:val="clear" w:color="auto" w:fill="auto"/>
          </w:tcPr>
          <w:p w14:paraId="704633EF" w14:textId="77777777" w:rsidR="00642803" w:rsidRPr="006B1A94" w:rsidRDefault="00642803" w:rsidP="00B876A7">
            <w:pPr>
              <w:rPr>
                <w:rFonts w:ascii="Calibri" w:eastAsia="PMingLiU" w:hAnsi="Calibri" w:cs="Times New Roman"/>
                <w:sz w:val="20"/>
                <w:szCs w:val="20"/>
              </w:rPr>
            </w:pPr>
            <m:oMathPara>
              <m:oMath>
                <m:sSub>
                  <m:sSubPr>
                    <m:ctrlPr>
                      <w:rPr>
                        <w:rFonts w:ascii="Cambria Math" w:eastAsia="PMingLiU" w:hAnsi="Cambria Math" w:cs="Times New Roman"/>
                        <w:i/>
                        <w:sz w:val="20"/>
                        <w:szCs w:val="20"/>
                      </w:rPr>
                    </m:ctrlPr>
                  </m:sSubPr>
                  <m:e>
                    <m:r>
                      <w:rPr>
                        <w:rFonts w:ascii="Cambria Math" w:eastAsia="PMingLiU" w:hAnsi="Cambria Math" w:cs="Times New Roman"/>
                        <w:sz w:val="20"/>
                        <w:szCs w:val="20"/>
                      </w:rPr>
                      <m:t>Y</m:t>
                    </m:r>
                  </m:e>
                  <m:sub>
                    <m:r>
                      <w:rPr>
                        <w:rFonts w:ascii="Cambria Math" w:eastAsia="PMingLiU" w:hAnsi="Cambria Math" w:cs="Times New Roman"/>
                        <w:sz w:val="20"/>
                        <w:szCs w:val="20"/>
                      </w:rPr>
                      <m:t>ini</m:t>
                    </m:r>
                  </m:sub>
                </m:sSub>
              </m:oMath>
            </m:oMathPara>
          </w:p>
        </w:tc>
        <w:tc>
          <w:tcPr>
            <w:tcW w:w="2430" w:type="dxa"/>
            <w:tcBorders>
              <w:bottom w:val="single" w:sz="4" w:space="0" w:color="auto"/>
            </w:tcBorders>
            <w:shd w:val="clear" w:color="auto" w:fill="auto"/>
          </w:tcPr>
          <w:p w14:paraId="5043460B" w14:textId="77777777" w:rsidR="00642803" w:rsidRPr="006B1A94" w:rsidRDefault="00642803" w:rsidP="00B876A7">
            <w:pPr>
              <w:rPr>
                <w:sz w:val="20"/>
                <w:szCs w:val="20"/>
              </w:rPr>
            </w:pPr>
            <w:r>
              <w:rPr>
                <w:sz w:val="20"/>
                <w:szCs w:val="20"/>
              </w:rPr>
              <w:t>N</w:t>
            </w:r>
            <w:r w:rsidRPr="006B1A94">
              <w:rPr>
                <w:sz w:val="20"/>
                <w:szCs w:val="20"/>
              </w:rPr>
              <w:t>umber of protein</w:t>
            </w:r>
            <w:r>
              <w:rPr>
                <w:sz w:val="20"/>
                <w:szCs w:val="20"/>
              </w:rPr>
              <w:t>s</w:t>
            </w:r>
          </w:p>
          <w:p w14:paraId="3FE2F554" w14:textId="77777777" w:rsidR="00642803" w:rsidRPr="006B1A94" w:rsidRDefault="00642803" w:rsidP="00B876A7">
            <w:pPr>
              <w:rPr>
                <w:sz w:val="20"/>
                <w:szCs w:val="20"/>
              </w:rPr>
            </w:pPr>
            <w:r w:rsidRPr="006B1A94">
              <w:rPr>
                <w:sz w:val="20"/>
                <w:szCs w:val="20"/>
              </w:rPr>
              <w:t>for a newborn cell (10</w:t>
            </w:r>
            <w:r w:rsidRPr="006B1A94">
              <w:rPr>
                <w:rFonts w:cs="Times New Roman (Body CS)"/>
                <w:sz w:val="20"/>
                <w:szCs w:val="20"/>
                <w:vertAlign w:val="superscript"/>
              </w:rPr>
              <w:t>6</w:t>
            </w:r>
            <w:r w:rsidRPr="006B1A94">
              <w:rPr>
                <w:sz w:val="20"/>
                <w:szCs w:val="20"/>
              </w:rPr>
              <w:t>)</w:t>
            </w:r>
          </w:p>
        </w:tc>
        <w:tc>
          <w:tcPr>
            <w:tcW w:w="1260" w:type="dxa"/>
            <w:tcBorders>
              <w:bottom w:val="single" w:sz="4" w:space="0" w:color="auto"/>
            </w:tcBorders>
            <w:shd w:val="clear" w:color="auto" w:fill="auto"/>
          </w:tcPr>
          <w:p w14:paraId="00EA6F7C" w14:textId="77777777" w:rsidR="00642803" w:rsidRPr="006B1A94" w:rsidRDefault="00642803" w:rsidP="00B876A7">
            <w:pPr>
              <w:rPr>
                <w:sz w:val="20"/>
                <w:szCs w:val="20"/>
              </w:rPr>
            </w:pPr>
            <w:r w:rsidRPr="006B1A94">
              <w:rPr>
                <w:sz w:val="20"/>
                <w:szCs w:val="20"/>
              </w:rPr>
              <w:t>3.82</w:t>
            </w:r>
          </w:p>
        </w:tc>
        <w:tc>
          <w:tcPr>
            <w:tcW w:w="4590" w:type="dxa"/>
            <w:tcBorders>
              <w:bottom w:val="single" w:sz="4" w:space="0" w:color="auto"/>
            </w:tcBorders>
            <w:shd w:val="clear" w:color="auto" w:fill="auto"/>
          </w:tcPr>
          <w:p w14:paraId="3CC3A4F7" w14:textId="77777777" w:rsidR="00642803" w:rsidRPr="006B1A94" w:rsidRDefault="00642803" w:rsidP="00B876A7">
            <w:pPr>
              <w:rPr>
                <w:sz w:val="20"/>
                <w:szCs w:val="20"/>
              </w:rPr>
            </w:pPr>
            <w:r w:rsidRPr="006B1A94">
              <w:rPr>
                <w:sz w:val="20"/>
                <w:szCs w:val="20"/>
              </w:rPr>
              <w:t xml:space="preserve">Calculated </w:t>
            </w:r>
            <w:r>
              <w:rPr>
                <w:sz w:val="20"/>
                <w:szCs w:val="20"/>
              </w:rPr>
              <w:t>as</w:t>
            </w:r>
          </w:p>
          <w:p w14:paraId="389C650F" w14:textId="77777777" w:rsidR="00642803" w:rsidRPr="006B1A94" w:rsidRDefault="00642803" w:rsidP="00B876A7">
            <w:pPr>
              <w:rPr>
                <w:sz w:val="20"/>
                <w:szCs w:val="20"/>
              </w:rPr>
            </w:pPr>
            <m:oMathPara>
              <m:oMathParaPr>
                <m:jc m:val="left"/>
              </m:oMathParaPr>
              <m:oMath>
                <m:sSub>
                  <m:sSubPr>
                    <m:ctrlPr>
                      <w:rPr>
                        <w:rFonts w:ascii="Cambria Math" w:eastAsia="PMingLiU" w:hAnsi="Cambria Math" w:cs="Times New Roman"/>
                        <w:i/>
                        <w:sz w:val="20"/>
                        <w:szCs w:val="20"/>
                      </w:rPr>
                    </m:ctrlPr>
                  </m:sSubPr>
                  <m:e>
                    <m:r>
                      <w:rPr>
                        <w:rFonts w:ascii="Cambria Math" w:eastAsia="PMingLiU" w:hAnsi="Cambria Math" w:cs="Times New Roman"/>
                        <w:sz w:val="20"/>
                        <w:szCs w:val="20"/>
                      </w:rPr>
                      <m:t>Y</m:t>
                    </m:r>
                  </m:e>
                  <m:sub>
                    <m:r>
                      <w:rPr>
                        <w:rFonts w:ascii="Cambria Math" w:eastAsia="PMingLiU" w:hAnsi="Cambria Math" w:cs="Times New Roman"/>
                        <w:sz w:val="20"/>
                        <w:szCs w:val="20"/>
                      </w:rPr>
                      <m:t>ini</m:t>
                    </m:r>
                  </m:sub>
                </m:sSub>
                <m:r>
                  <w:rPr>
                    <w:rFonts w:ascii="Cambria Math" w:eastAsia="PMingLiU" w:hAnsi="Cambria Math" w:cs="Times New Roman"/>
                    <w:sz w:val="20"/>
                    <w:szCs w:val="20"/>
                  </w:rPr>
                  <m:t>=Y/(2log2)</m:t>
                </m:r>
              </m:oMath>
            </m:oMathPara>
          </w:p>
        </w:tc>
      </w:tr>
      <w:tr w:rsidR="00642803" w:rsidRPr="006B1A94" w14:paraId="0F973644" w14:textId="77777777" w:rsidTr="00B876A7">
        <w:tc>
          <w:tcPr>
            <w:tcW w:w="985" w:type="dxa"/>
          </w:tcPr>
          <w:p w14:paraId="70393AFA" w14:textId="77777777" w:rsidR="00642803" w:rsidRPr="006B1A94" w:rsidRDefault="00642803" w:rsidP="00B876A7">
            <w:pPr>
              <w:rPr>
                <w:rFonts w:ascii="Calibri" w:eastAsia="PMingLiU" w:hAnsi="Calibri" w:cs="Times New Roman"/>
                <w:sz w:val="20"/>
                <w:szCs w:val="20"/>
              </w:rPr>
            </w:pPr>
            <m:oMathPara>
              <m:oMath>
                <m:sSub>
                  <m:sSubPr>
                    <m:ctrlPr>
                      <w:rPr>
                        <w:rFonts w:ascii="Cambria Math" w:hAnsi="Cambria Math"/>
                        <w:i/>
                        <w:sz w:val="20"/>
                        <w:szCs w:val="20"/>
                      </w:rPr>
                    </m:ctrlPr>
                  </m:sSubPr>
                  <m:e>
                    <m:r>
                      <w:rPr>
                        <w:rFonts w:ascii="Cambria Math" w:hAnsi="Cambria Math"/>
                        <w:sz w:val="20"/>
                        <w:szCs w:val="20"/>
                      </w:rPr>
                      <m:t>n</m:t>
                    </m:r>
                  </m:e>
                  <m:sub>
                    <m:r>
                      <w:rPr>
                        <w:rFonts w:ascii="Cambria Math" w:hAnsi="Cambria Math"/>
                        <w:sz w:val="20"/>
                        <w:szCs w:val="20"/>
                      </w:rPr>
                      <m:t>RNAP</m:t>
                    </m:r>
                  </m:sub>
                </m:sSub>
              </m:oMath>
            </m:oMathPara>
          </w:p>
        </w:tc>
        <w:tc>
          <w:tcPr>
            <w:tcW w:w="2430" w:type="dxa"/>
          </w:tcPr>
          <w:p w14:paraId="5E987ADC" w14:textId="77777777" w:rsidR="00642803" w:rsidRPr="006B1A94" w:rsidRDefault="00642803" w:rsidP="00B876A7">
            <w:pPr>
              <w:rPr>
                <w:sz w:val="20"/>
                <w:szCs w:val="20"/>
              </w:rPr>
            </w:pPr>
            <w:r>
              <w:rPr>
                <w:sz w:val="20"/>
                <w:szCs w:val="20"/>
              </w:rPr>
              <w:t>N</w:t>
            </w:r>
            <w:r w:rsidRPr="006B1A94">
              <w:rPr>
                <w:sz w:val="20"/>
                <w:szCs w:val="20"/>
              </w:rPr>
              <w:t>umber of RNAP</w:t>
            </w:r>
            <w:r>
              <w:rPr>
                <w:sz w:val="20"/>
                <w:szCs w:val="20"/>
              </w:rPr>
              <w:t>s</w:t>
            </w:r>
          </w:p>
          <w:p w14:paraId="1AAE3572" w14:textId="77777777" w:rsidR="00642803" w:rsidRPr="006B1A94" w:rsidRDefault="00642803" w:rsidP="00B876A7">
            <w:pPr>
              <w:rPr>
                <w:sz w:val="20"/>
                <w:szCs w:val="20"/>
              </w:rPr>
            </w:pPr>
            <w:r w:rsidRPr="006B1A94">
              <w:rPr>
                <w:sz w:val="20"/>
                <w:szCs w:val="20"/>
              </w:rPr>
              <w:t>in the cell (10</w:t>
            </w:r>
            <w:r w:rsidRPr="006B1A94">
              <w:rPr>
                <w:rFonts w:cs="Times New Roman (Body CS)"/>
                <w:sz w:val="20"/>
                <w:szCs w:val="20"/>
                <w:vertAlign w:val="superscript"/>
              </w:rPr>
              <w:t>3</w:t>
            </w:r>
            <w:r w:rsidRPr="006B1A94">
              <w:rPr>
                <w:sz w:val="20"/>
                <w:szCs w:val="20"/>
              </w:rPr>
              <w:t>)</w:t>
            </w:r>
          </w:p>
        </w:tc>
        <w:tc>
          <w:tcPr>
            <w:tcW w:w="1260" w:type="dxa"/>
          </w:tcPr>
          <w:p w14:paraId="284522FE" w14:textId="77777777" w:rsidR="00642803" w:rsidRPr="006B1A94" w:rsidRDefault="00642803" w:rsidP="00B876A7">
            <w:pPr>
              <w:rPr>
                <w:sz w:val="20"/>
                <w:szCs w:val="20"/>
              </w:rPr>
            </w:pPr>
            <w:r w:rsidRPr="006B1A94">
              <w:rPr>
                <w:sz w:val="20"/>
                <w:szCs w:val="20"/>
              </w:rPr>
              <w:t>5.7</w:t>
            </w:r>
          </w:p>
        </w:tc>
        <w:tc>
          <w:tcPr>
            <w:tcW w:w="4590" w:type="dxa"/>
          </w:tcPr>
          <w:p w14:paraId="7F5C362C" w14:textId="77777777" w:rsidR="00642803" w:rsidRPr="006B1A94" w:rsidRDefault="00642803" w:rsidP="00B876A7">
            <w:pPr>
              <w:rPr>
                <w:sz w:val="20"/>
                <w:szCs w:val="20"/>
              </w:rPr>
            </w:pPr>
            <w:r w:rsidRPr="006B1A94">
              <w:rPr>
                <w:sz w:val="20"/>
                <w:szCs w:val="20"/>
              </w:rPr>
              <w:t xml:space="preserve">Estimated from </w:t>
            </w:r>
            <w:r w:rsidRPr="006B1A94">
              <w:rPr>
                <w:sz w:val="20"/>
                <w:szCs w:val="20"/>
              </w:rPr>
              <w:fldChar w:fldCharType="begin"/>
            </w:r>
            <w:r>
              <w:rPr>
                <w:sz w:val="20"/>
                <w:szCs w:val="20"/>
              </w:rPr>
              <w:instrText xml:space="preserve"> ADDIN ZOTERO_ITEM CSL_CITATION {"citationID":"7v0ZHBxa","properties":{"formattedCitation":"(Bremer and Dennis, 2008)","plainCitation":"(Bremer and Dennis, 2008)","noteIndex":0},"citationItems":[{"id":696,"uris":["http://zotero.org/groups/4731724/items/LRIWCE49"],"itemData":{"id":696,"type":"article-journal","abstract":"This review begins by briefly presenting the history of research on the chemical composition and other parameters of cells of E. coli and S. enterica at different exponential growth rates. Studies have allowed us to determine the in vivo strength of promoters and have allowed us to distinguish between factor-dependent transcriptional control of the promoter and changes in promoter activity due to changes in the concentration of free functional RNA polymerase associated with different growth conditions. The total, or bulk, amounts of RNA and protein are linked to the growth rate, because most bacterial RNA is ribosomal RNA (rRNA). Since ribosomes are required for protein synthesis, their number and their rate of function determine the rate of protein synthesis and cytoplasmic mass accumulation. Many mRNAs made in the presence of amino acids have strong ribosome binding sites whose presence reduces the expression of all other active genes. This implies that there can be profound differences in the spectrum of gene activities in cultures grown in different media that produce the same growth rate. Five classes of growth-related parameters that are generally useful in describing or establishing the macromolecular composition of bacterial cultures are described in detail in this review. A number of equations have been reported that describe the macromolecular composition of an average cell in an exponential culture as a function of the culture doubling time and five additional parameters: the C- and D-periods, protein per origin (PO), ribosome activity, and peptide chain elongation rate.","container-title":"EcoSal Plus","DOI":"10.1128/ecosal.5.2.3","ISSN":"2324-6200","issue":"1","journalAbbreviation":"EcoSal Plus","language":"eng","note":"PMID: 26443740","source":"PubMed","title":"Modulation of Chemical Composition and Other Parameters of the Cell at Different Exponential Growth Rates","volume":"3","author":[{"family":"Bremer","given":"Hans"},{"family":"Dennis","given":"Patrick P."}],"issued":{"date-parts":[["2008",9]]}}}],"schema":"https://github.com/citation-style-language/schema/raw/master/csl-citation.json"} </w:instrText>
            </w:r>
            <w:r w:rsidRPr="006B1A94">
              <w:rPr>
                <w:sz w:val="20"/>
                <w:szCs w:val="20"/>
              </w:rPr>
              <w:fldChar w:fldCharType="separate"/>
            </w:r>
            <w:r w:rsidRPr="006B1A94">
              <w:rPr>
                <w:noProof/>
                <w:sz w:val="20"/>
                <w:szCs w:val="20"/>
              </w:rPr>
              <w:t>(Bremer and Dennis, 2008)</w:t>
            </w:r>
            <w:r w:rsidRPr="006B1A94">
              <w:rPr>
                <w:sz w:val="20"/>
                <w:szCs w:val="20"/>
              </w:rPr>
              <w:fldChar w:fldCharType="end"/>
            </w:r>
          </w:p>
        </w:tc>
      </w:tr>
      <w:tr w:rsidR="00642803" w:rsidRPr="006B1A94" w14:paraId="73158B62" w14:textId="77777777" w:rsidTr="00B876A7">
        <w:trPr>
          <w:trHeight w:val="413"/>
        </w:trPr>
        <w:tc>
          <w:tcPr>
            <w:tcW w:w="985" w:type="dxa"/>
          </w:tcPr>
          <w:p w14:paraId="370980FB" w14:textId="77777777" w:rsidR="00642803" w:rsidRPr="006B1A94" w:rsidRDefault="00642803" w:rsidP="00B876A7">
            <w:pPr>
              <w:rPr>
                <w:rFonts w:ascii="Calibri" w:eastAsia="PMingLiU" w:hAnsi="Calibri" w:cs="Times New Roman"/>
                <w:sz w:val="20"/>
                <w:szCs w:val="20"/>
              </w:rPr>
            </w:pPr>
            <m:oMathPara>
              <m:oMath>
                <m:sSub>
                  <m:sSubPr>
                    <m:ctrlPr>
                      <w:rPr>
                        <w:rFonts w:ascii="Cambria Math" w:hAnsi="Cambria Math"/>
                        <w:i/>
                        <w:sz w:val="20"/>
                        <w:szCs w:val="20"/>
                      </w:rPr>
                    </m:ctrlPr>
                  </m:sSubPr>
                  <m:e>
                    <m:r>
                      <w:rPr>
                        <w:rFonts w:ascii="Cambria Math" w:hAnsi="Cambria Math"/>
                        <w:sz w:val="20"/>
                        <w:szCs w:val="20"/>
                      </w:rPr>
                      <m:t>n</m:t>
                    </m:r>
                  </m:e>
                  <m:sub>
                    <m:r>
                      <w:rPr>
                        <w:rFonts w:ascii="Cambria Math" w:hAnsi="Cambria Math"/>
                        <w:sz w:val="20"/>
                        <w:szCs w:val="20"/>
                      </w:rPr>
                      <m:t>protein</m:t>
                    </m:r>
                  </m:sub>
                </m:sSub>
              </m:oMath>
            </m:oMathPara>
          </w:p>
        </w:tc>
        <w:tc>
          <w:tcPr>
            <w:tcW w:w="2430" w:type="dxa"/>
          </w:tcPr>
          <w:p w14:paraId="02A5F275" w14:textId="77777777" w:rsidR="00642803" w:rsidRPr="006B1A94" w:rsidRDefault="00642803" w:rsidP="00B876A7">
            <w:pPr>
              <w:rPr>
                <w:sz w:val="20"/>
                <w:szCs w:val="20"/>
              </w:rPr>
            </w:pPr>
            <w:r>
              <w:rPr>
                <w:sz w:val="20"/>
                <w:szCs w:val="20"/>
              </w:rPr>
              <w:t>N</w:t>
            </w:r>
            <w:r w:rsidRPr="006B1A94">
              <w:rPr>
                <w:sz w:val="20"/>
                <w:szCs w:val="20"/>
              </w:rPr>
              <w:t>umber of protein</w:t>
            </w:r>
            <w:r>
              <w:rPr>
                <w:sz w:val="20"/>
                <w:szCs w:val="20"/>
              </w:rPr>
              <w:t>s</w:t>
            </w:r>
          </w:p>
          <w:p w14:paraId="33531ABE" w14:textId="77777777" w:rsidR="00642803" w:rsidRPr="006B1A94" w:rsidRDefault="00642803" w:rsidP="00B876A7">
            <w:pPr>
              <w:rPr>
                <w:sz w:val="20"/>
                <w:szCs w:val="20"/>
              </w:rPr>
            </w:pPr>
            <w:r w:rsidRPr="006B1A94">
              <w:rPr>
                <w:sz w:val="20"/>
                <w:szCs w:val="20"/>
              </w:rPr>
              <w:t>in the cell (10</w:t>
            </w:r>
            <w:r w:rsidRPr="006B1A94">
              <w:rPr>
                <w:rFonts w:cs="Times New Roman (Body CS)"/>
                <w:sz w:val="20"/>
                <w:szCs w:val="20"/>
                <w:vertAlign w:val="superscript"/>
              </w:rPr>
              <w:t>6</w:t>
            </w:r>
            <w:r w:rsidRPr="006B1A94">
              <w:rPr>
                <w:sz w:val="20"/>
                <w:szCs w:val="20"/>
              </w:rPr>
              <w:t>)</w:t>
            </w:r>
          </w:p>
        </w:tc>
        <w:tc>
          <w:tcPr>
            <w:tcW w:w="1260" w:type="dxa"/>
          </w:tcPr>
          <w:p w14:paraId="1635B342" w14:textId="77777777" w:rsidR="00642803" w:rsidRPr="006B1A94" w:rsidRDefault="00642803" w:rsidP="00B876A7">
            <w:pPr>
              <w:rPr>
                <w:sz w:val="20"/>
                <w:szCs w:val="20"/>
              </w:rPr>
            </w:pPr>
            <w:r w:rsidRPr="006B1A94">
              <w:rPr>
                <w:sz w:val="20"/>
                <w:szCs w:val="20"/>
              </w:rPr>
              <w:t>5.29</w:t>
            </w:r>
          </w:p>
        </w:tc>
        <w:tc>
          <w:tcPr>
            <w:tcW w:w="4590" w:type="dxa"/>
          </w:tcPr>
          <w:p w14:paraId="252AB95B" w14:textId="77777777" w:rsidR="00642803" w:rsidRPr="006B1A94" w:rsidRDefault="00642803" w:rsidP="00B876A7">
            <w:pPr>
              <w:rPr>
                <w:sz w:val="20"/>
                <w:szCs w:val="20"/>
              </w:rPr>
            </w:pPr>
            <w:r w:rsidRPr="006B1A94">
              <w:rPr>
                <w:sz w:val="20"/>
                <w:szCs w:val="20"/>
              </w:rPr>
              <w:t xml:space="preserve">Estimated from </w:t>
            </w:r>
            <w:r w:rsidRPr="006B1A94">
              <w:rPr>
                <w:sz w:val="20"/>
                <w:szCs w:val="20"/>
              </w:rPr>
              <w:fldChar w:fldCharType="begin"/>
            </w:r>
            <w:r>
              <w:rPr>
                <w:sz w:val="20"/>
                <w:szCs w:val="20"/>
              </w:rPr>
              <w:instrText xml:space="preserve"> ADDIN ZOTERO_ITEM CSL_CITATION {"citationID":"gQvcQnSX","properties":{"formattedCitation":"(Bremer and Dennis, 2008)","plainCitation":"(Bremer and Dennis, 2008)","noteIndex":0},"citationItems":[{"id":696,"uris":["http://zotero.org/groups/4731724/items/LRIWCE49"],"itemData":{"id":696,"type":"article-journal","abstract":"This review begins by briefly presenting the history of research on the chemical composition and other parameters of cells of E. coli and S. enterica at different exponential growth rates. Studies have allowed us to determine the in vivo strength of promoters and have allowed us to distinguish between factor-dependent transcriptional control of the promoter and changes in promoter activity due to changes in the concentration of free functional RNA polymerase associated with different growth conditions. The total, or bulk, amounts of RNA and protein are linked to the growth rate, because most bacterial RNA is ribosomal RNA (rRNA). Since ribosomes are required for protein synthesis, their number and their rate of function determine the rate of protein synthesis and cytoplasmic mass accumulation. Many mRNAs made in the presence of amino acids have strong ribosome binding sites whose presence reduces the expression of all other active genes. This implies that there can be profound differences in the spectrum of gene activities in cultures grown in different media that produce the same growth rate. Five classes of growth-related parameters that are generally useful in describing or establishing the macromolecular composition of bacterial cultures are described in detail in this review. A number of equations have been reported that describe the macromolecular composition of an average cell in an exponential culture as a function of the culture doubling time and five additional parameters: the C- and D-periods, protein per origin (PO), ribosome activity, and peptide chain elongation rate.","container-title":"EcoSal Plus","DOI":"10.1128/ecosal.5.2.3","ISSN":"2324-6200","issue":"1","journalAbbreviation":"EcoSal Plus","language":"eng","note":"PMID: 26443740","source":"PubMed","title":"Modulation of Chemical Composition and Other Parameters of the Cell at Different Exponential Growth Rates","volume":"3","author":[{"family":"Bremer","given":"Hans"},{"family":"Dennis","given":"Patrick P."}],"issued":{"date-parts":[["2008",9]]}}}],"schema":"https://github.com/citation-style-language/schema/raw/master/csl-citation.json"} </w:instrText>
            </w:r>
            <w:r w:rsidRPr="006B1A94">
              <w:rPr>
                <w:sz w:val="20"/>
                <w:szCs w:val="20"/>
              </w:rPr>
              <w:fldChar w:fldCharType="separate"/>
            </w:r>
            <w:r w:rsidRPr="006B1A94">
              <w:rPr>
                <w:noProof/>
                <w:sz w:val="20"/>
                <w:szCs w:val="20"/>
              </w:rPr>
              <w:t>(Bremer and Dennis, 2008)</w:t>
            </w:r>
            <w:r w:rsidRPr="006B1A94">
              <w:rPr>
                <w:sz w:val="20"/>
                <w:szCs w:val="20"/>
              </w:rPr>
              <w:fldChar w:fldCharType="end"/>
            </w:r>
          </w:p>
        </w:tc>
      </w:tr>
      <w:tr w:rsidR="00642803" w:rsidRPr="006B1A94" w14:paraId="4A183906" w14:textId="77777777" w:rsidTr="00B876A7">
        <w:tc>
          <w:tcPr>
            <w:tcW w:w="985" w:type="dxa"/>
          </w:tcPr>
          <w:p w14:paraId="1C9118B4" w14:textId="77777777" w:rsidR="00642803" w:rsidRPr="006B1A94" w:rsidRDefault="00642803" w:rsidP="00B876A7">
            <w:pPr>
              <w:rPr>
                <w:sz w:val="20"/>
                <w:szCs w:val="20"/>
              </w:rPr>
            </w:pPr>
            <m:oMathPara>
              <m:oMath>
                <m:sSub>
                  <m:sSubPr>
                    <m:ctrlPr>
                      <w:rPr>
                        <w:rFonts w:ascii="Cambria Math" w:hAnsi="Cambria Math"/>
                        <w:i/>
                        <w:sz w:val="20"/>
                        <w:szCs w:val="20"/>
                      </w:rPr>
                    </m:ctrlPr>
                  </m:sSubPr>
                  <m:e>
                    <m:r>
                      <w:rPr>
                        <w:rFonts w:ascii="Cambria Math" w:hAnsi="Cambria Math"/>
                        <w:sz w:val="20"/>
                        <w:szCs w:val="20"/>
                      </w:rPr>
                      <m:t>θ</m:t>
                    </m:r>
                  </m:e>
                  <m:sub>
                    <m:r>
                      <w:rPr>
                        <w:rFonts w:ascii="Cambria Math" w:hAnsi="Cambria Math"/>
                        <w:sz w:val="20"/>
                        <w:szCs w:val="20"/>
                      </w:rPr>
                      <m:t>RNAP</m:t>
                    </m:r>
                  </m:sub>
                </m:sSub>
              </m:oMath>
            </m:oMathPara>
          </w:p>
        </w:tc>
        <w:tc>
          <w:tcPr>
            <w:tcW w:w="2430" w:type="dxa"/>
          </w:tcPr>
          <w:p w14:paraId="056D6CAA" w14:textId="77777777" w:rsidR="00642803" w:rsidRPr="006B1A94" w:rsidRDefault="00642803" w:rsidP="00B876A7">
            <w:pPr>
              <w:rPr>
                <w:sz w:val="20"/>
                <w:szCs w:val="20"/>
              </w:rPr>
            </w:pPr>
            <w:r w:rsidRPr="006B1A94">
              <w:rPr>
                <w:sz w:val="20"/>
                <w:szCs w:val="20"/>
              </w:rPr>
              <w:t>Fraction of RNAP</w:t>
            </w:r>
            <w:r>
              <w:rPr>
                <w:sz w:val="20"/>
                <w:szCs w:val="20"/>
              </w:rPr>
              <w:t>s</w:t>
            </w:r>
            <w:r w:rsidRPr="006B1A94">
              <w:rPr>
                <w:sz w:val="20"/>
                <w:szCs w:val="20"/>
              </w:rPr>
              <w:t xml:space="preserve"> </w:t>
            </w:r>
            <w:r>
              <w:rPr>
                <w:sz w:val="20"/>
                <w:szCs w:val="20"/>
              </w:rPr>
              <w:t>relative to the</w:t>
            </w:r>
            <w:r w:rsidRPr="006B1A94">
              <w:rPr>
                <w:sz w:val="20"/>
                <w:szCs w:val="20"/>
              </w:rPr>
              <w:t xml:space="preserve"> total </w:t>
            </w:r>
            <w:r>
              <w:rPr>
                <w:sz w:val="20"/>
                <w:szCs w:val="20"/>
              </w:rPr>
              <w:t xml:space="preserve">number of </w:t>
            </w:r>
            <w:r w:rsidRPr="006B1A94">
              <w:rPr>
                <w:sz w:val="20"/>
                <w:szCs w:val="20"/>
              </w:rPr>
              <w:t>protein</w:t>
            </w:r>
            <w:r>
              <w:rPr>
                <w:sz w:val="20"/>
                <w:szCs w:val="20"/>
              </w:rPr>
              <w:t xml:space="preserve">s </w:t>
            </w:r>
          </w:p>
        </w:tc>
        <w:tc>
          <w:tcPr>
            <w:tcW w:w="1260" w:type="dxa"/>
          </w:tcPr>
          <w:p w14:paraId="51EE5CDF" w14:textId="77777777" w:rsidR="00642803" w:rsidRPr="006B1A94" w:rsidRDefault="00642803" w:rsidP="00B876A7">
            <w:pPr>
              <w:rPr>
                <w:sz w:val="20"/>
                <w:szCs w:val="20"/>
              </w:rPr>
            </w:pPr>
            <w:r>
              <w:rPr>
                <w:sz w:val="20"/>
                <w:szCs w:val="20"/>
              </w:rPr>
              <w:t>0.00</w:t>
            </w:r>
            <w:r w:rsidRPr="006B1A94">
              <w:rPr>
                <w:sz w:val="20"/>
                <w:szCs w:val="20"/>
              </w:rPr>
              <w:t>108</w:t>
            </w:r>
          </w:p>
        </w:tc>
        <w:tc>
          <w:tcPr>
            <w:tcW w:w="4590" w:type="dxa"/>
          </w:tcPr>
          <w:p w14:paraId="406DA9CF" w14:textId="77777777" w:rsidR="00642803" w:rsidRPr="006B1A94" w:rsidRDefault="00642803" w:rsidP="00B876A7">
            <w:pPr>
              <w:rPr>
                <w:sz w:val="20"/>
                <w:szCs w:val="20"/>
              </w:rPr>
            </w:pPr>
            <m:oMathPara>
              <m:oMathParaPr>
                <m:jc m:val="left"/>
              </m:oMathParaPr>
              <m:oMath>
                <m:sSub>
                  <m:sSubPr>
                    <m:ctrlPr>
                      <w:rPr>
                        <w:rFonts w:ascii="Cambria Math" w:hAnsi="Cambria Math"/>
                        <w:i/>
                        <w:sz w:val="20"/>
                        <w:szCs w:val="20"/>
                      </w:rPr>
                    </m:ctrlPr>
                  </m:sSubPr>
                  <m:e>
                    <m:r>
                      <w:rPr>
                        <w:rFonts w:ascii="Cambria Math" w:hAnsi="Cambria Math"/>
                        <w:sz w:val="20"/>
                        <w:szCs w:val="20"/>
                      </w:rPr>
                      <m:t>θ</m:t>
                    </m:r>
                  </m:e>
                  <m:sub>
                    <m:r>
                      <w:rPr>
                        <w:rFonts w:ascii="Cambria Math" w:hAnsi="Cambria Math"/>
                        <w:sz w:val="20"/>
                        <w:szCs w:val="20"/>
                      </w:rPr>
                      <m:t>RNAP</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n</m:t>
                    </m:r>
                  </m:e>
                  <m:sub>
                    <m:r>
                      <w:rPr>
                        <w:rFonts w:ascii="Cambria Math" w:hAnsi="Cambria Math"/>
                        <w:sz w:val="20"/>
                        <w:szCs w:val="20"/>
                      </w:rPr>
                      <m:t>RNAP</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n</m:t>
                    </m:r>
                  </m:e>
                  <m:sub>
                    <m:r>
                      <w:rPr>
                        <w:rFonts w:ascii="Cambria Math" w:hAnsi="Cambria Math"/>
                        <w:sz w:val="20"/>
                        <w:szCs w:val="20"/>
                      </w:rPr>
                      <m:t>protein</m:t>
                    </m:r>
                  </m:sub>
                </m:sSub>
              </m:oMath>
            </m:oMathPara>
          </w:p>
        </w:tc>
      </w:tr>
      <w:tr w:rsidR="00642803" w:rsidRPr="006B1A94" w14:paraId="7DDDDF03" w14:textId="77777777" w:rsidTr="00B876A7">
        <w:tc>
          <w:tcPr>
            <w:tcW w:w="985" w:type="dxa"/>
          </w:tcPr>
          <w:p w14:paraId="1E507851" w14:textId="77777777" w:rsidR="00642803" w:rsidRPr="006B1A94" w:rsidRDefault="00642803" w:rsidP="00B876A7">
            <w:pPr>
              <w:rPr>
                <w:sz w:val="20"/>
                <w:szCs w:val="20"/>
              </w:rPr>
            </w:pPr>
            <m:oMathPara>
              <m:oMath>
                <m:sSub>
                  <m:sSubPr>
                    <m:ctrlPr>
                      <w:rPr>
                        <w:rFonts w:ascii="Cambria Math" w:hAnsi="Cambria Math"/>
                        <w:i/>
                        <w:sz w:val="20"/>
                        <w:szCs w:val="20"/>
                      </w:rPr>
                    </m:ctrlPr>
                  </m:sSubPr>
                  <m:e>
                    <m:r>
                      <w:rPr>
                        <w:rFonts w:ascii="Cambria Math" w:hAnsi="Cambria Math"/>
                        <w:sz w:val="20"/>
                        <w:szCs w:val="20"/>
                      </w:rPr>
                      <m:t>β</m:t>
                    </m:r>
                  </m:e>
                  <m:sub>
                    <m:r>
                      <w:rPr>
                        <w:rFonts w:ascii="Cambria Math" w:hAnsi="Cambria Math"/>
                        <w:sz w:val="20"/>
                        <w:szCs w:val="20"/>
                      </w:rPr>
                      <m:t>mRNA</m:t>
                    </m:r>
                  </m:sub>
                </m:sSub>
              </m:oMath>
            </m:oMathPara>
          </w:p>
        </w:tc>
        <w:tc>
          <w:tcPr>
            <w:tcW w:w="2430" w:type="dxa"/>
          </w:tcPr>
          <w:p w14:paraId="10248CCD" w14:textId="77777777" w:rsidR="00642803" w:rsidRPr="006B1A94" w:rsidRDefault="00642803" w:rsidP="00B876A7">
            <w:pPr>
              <w:rPr>
                <w:sz w:val="20"/>
                <w:szCs w:val="20"/>
              </w:rPr>
            </w:pPr>
            <w:r w:rsidRPr="006B1A94">
              <w:rPr>
                <w:sz w:val="20"/>
                <w:szCs w:val="20"/>
              </w:rPr>
              <w:t>Fraction of RNAP</w:t>
            </w:r>
            <w:r>
              <w:rPr>
                <w:sz w:val="20"/>
                <w:szCs w:val="20"/>
              </w:rPr>
              <w:t>s</w:t>
            </w:r>
            <w:r w:rsidRPr="006B1A94">
              <w:rPr>
                <w:sz w:val="20"/>
                <w:szCs w:val="20"/>
              </w:rPr>
              <w:t xml:space="preserve"> </w:t>
            </w:r>
            <w:r>
              <w:rPr>
                <w:sz w:val="20"/>
                <w:szCs w:val="20"/>
              </w:rPr>
              <w:t>involved in</w:t>
            </w:r>
            <w:r w:rsidRPr="006B1A94">
              <w:rPr>
                <w:sz w:val="20"/>
                <w:szCs w:val="20"/>
              </w:rPr>
              <w:t xml:space="preserve"> mRNA synthesis </w:t>
            </w:r>
          </w:p>
        </w:tc>
        <w:tc>
          <w:tcPr>
            <w:tcW w:w="1260" w:type="dxa"/>
          </w:tcPr>
          <w:p w14:paraId="653A51FD" w14:textId="77777777" w:rsidR="00642803" w:rsidRPr="006B1A94" w:rsidRDefault="00642803" w:rsidP="00B876A7">
            <w:pPr>
              <w:rPr>
                <w:sz w:val="20"/>
                <w:szCs w:val="20"/>
              </w:rPr>
            </w:pPr>
            <w:r w:rsidRPr="006B1A94">
              <w:rPr>
                <w:sz w:val="20"/>
                <w:szCs w:val="20"/>
              </w:rPr>
              <w:t>0.18</w:t>
            </w:r>
          </w:p>
        </w:tc>
        <w:tc>
          <w:tcPr>
            <w:tcW w:w="4590" w:type="dxa"/>
          </w:tcPr>
          <w:p w14:paraId="096835A0" w14:textId="77777777" w:rsidR="00642803" w:rsidRPr="006B1A94" w:rsidRDefault="00642803" w:rsidP="00B876A7">
            <w:pPr>
              <w:rPr>
                <w:sz w:val="20"/>
                <w:szCs w:val="20"/>
              </w:rPr>
            </w:pPr>
            <w:r w:rsidRPr="006B1A94">
              <w:rPr>
                <w:sz w:val="20"/>
                <w:szCs w:val="20"/>
              </w:rPr>
              <w:t xml:space="preserve">Estimated from </w:t>
            </w:r>
            <w:r w:rsidRPr="006B1A94">
              <w:rPr>
                <w:sz w:val="20"/>
                <w:szCs w:val="20"/>
              </w:rPr>
              <w:fldChar w:fldCharType="begin"/>
            </w:r>
            <w:r>
              <w:rPr>
                <w:sz w:val="20"/>
                <w:szCs w:val="20"/>
              </w:rPr>
              <w:instrText xml:space="preserve"> ADDIN ZOTERO_ITEM CSL_CITATION {"citationID":"2aXk8549","properties":{"formattedCitation":"(Bremer et al., 2003)","plainCitation":"(Bremer et al., 2003)","noteIndex":0},"citationItems":[{"id":651,"uris":["http://zotero.org/groups/4731724/items/YT5ATWPP"],"itemData":{"id":651,"type":"article-journal","abstract":"Growth rate-dependent changes in the cytoplasmic concentration of free functional RNA polymerase, [R(f)], affect the activity of all bacterial genes. Since [R(f)] is not accessible to direct experimental quantitation, it can only be found indirectly from an evaluation of promoter activity data. Here, a theory has been derived to calculate [R(f)] from the concentrations of total RNA polymerase and promoters in a model system with known Michaelis-Menten constants for the polymerase-promoter interactions. The theory takes transcript lengths and elongation rates into account and predicts how [R(f)] changes with varying gene dosages. From experimental data on total concentrations of RNA polymerase and kinetic properties of different classes of promoters, the theory was developed into a mathematical model that reproduces the global transcriptional control in Escherichia coli growing at different rates. The model allows an estimation of the concentrations of free and DNA-bound RNA polymerase, as well as the partitioning of RNA polymerase into mRNA and stable RNA synthesizing fractions. According to this model, [R(f)] is about 0.4 and 1.2 microM at growth rates corresponding to 1.0 and 2.5 doublings/h, respectively. The model accurately reflects a number of further experimental observations and suggests that the free RNA polymerase concentration increases with increasing growth rate.","container-title":"Biochimie","DOI":"10.1016/s0300-9084(03)00105-6","ISSN":"0300-9084","issue":"6","journalAbbreviation":"Biochimie","language":"eng","note":"PMID: 12829377","page":"597-609","source":"PubMed","title":"Free RNA polymerase and modeling global transcription in Escherichia coli","volume":"85","author":[{"family":"Bremer","given":"H."},{"family":"Dennis","given":"P."},{"family":"Ehrenberg","given":"M."}],"issued":{"date-parts":[["2003",6]]}}}],"schema":"https://github.com/citation-style-language/schema/raw/master/csl-citation.json"} </w:instrText>
            </w:r>
            <w:r w:rsidRPr="006B1A94">
              <w:rPr>
                <w:sz w:val="20"/>
                <w:szCs w:val="20"/>
              </w:rPr>
              <w:fldChar w:fldCharType="separate"/>
            </w:r>
            <w:r w:rsidRPr="006B1A94">
              <w:rPr>
                <w:noProof/>
                <w:sz w:val="20"/>
                <w:szCs w:val="20"/>
              </w:rPr>
              <w:t>(Bremer et al., 2003)</w:t>
            </w:r>
            <w:r w:rsidRPr="006B1A94">
              <w:rPr>
                <w:sz w:val="20"/>
                <w:szCs w:val="20"/>
              </w:rPr>
              <w:fldChar w:fldCharType="end"/>
            </w:r>
            <w:r w:rsidRPr="006B1A94">
              <w:rPr>
                <w:sz w:val="20"/>
                <w:szCs w:val="20"/>
              </w:rPr>
              <w:t>.</w:t>
            </w:r>
          </w:p>
        </w:tc>
      </w:tr>
      <w:tr w:rsidR="00642803" w:rsidRPr="006B1A94" w14:paraId="593EF52E" w14:textId="77777777" w:rsidTr="00B876A7">
        <w:trPr>
          <w:trHeight w:val="377"/>
        </w:trPr>
        <w:tc>
          <w:tcPr>
            <w:tcW w:w="985" w:type="dxa"/>
          </w:tcPr>
          <w:p w14:paraId="43C17684" w14:textId="77777777" w:rsidR="00642803" w:rsidRPr="006B1A94" w:rsidRDefault="00642803" w:rsidP="00B876A7">
            <w:pPr>
              <w:rPr>
                <w:sz w:val="20"/>
                <w:szCs w:val="20"/>
              </w:rPr>
            </w:pPr>
            <m:oMathPara>
              <m:oMath>
                <m:sSub>
                  <m:sSubPr>
                    <m:ctrlPr>
                      <w:rPr>
                        <w:rFonts w:ascii="Cambria Math" w:hAnsi="Cambria Math"/>
                        <w:i/>
                        <w:sz w:val="20"/>
                        <w:szCs w:val="20"/>
                      </w:rPr>
                    </m:ctrlPr>
                  </m:sSubPr>
                  <m:e>
                    <m:r>
                      <w:rPr>
                        <w:rFonts w:ascii="Cambria Math" w:hAnsi="Cambria Math"/>
                        <w:sz w:val="20"/>
                        <w:szCs w:val="20"/>
                      </w:rPr>
                      <m:t xml:space="preserve"> T</m:t>
                    </m:r>
                  </m:e>
                  <m:sub>
                    <m:r>
                      <w:rPr>
                        <w:rFonts w:ascii="Cambria Math" w:hAnsi="Cambria Math"/>
                        <w:sz w:val="20"/>
                        <w:szCs w:val="20"/>
                      </w:rPr>
                      <m:t>RNAP</m:t>
                    </m:r>
                  </m:sub>
                </m:sSub>
              </m:oMath>
            </m:oMathPara>
          </w:p>
        </w:tc>
        <w:tc>
          <w:tcPr>
            <w:tcW w:w="2430" w:type="dxa"/>
          </w:tcPr>
          <w:p w14:paraId="6FEC8CAD" w14:textId="77777777" w:rsidR="00642803" w:rsidRPr="006B1A94" w:rsidRDefault="00642803" w:rsidP="00B876A7">
            <w:pPr>
              <w:rPr>
                <w:sz w:val="20"/>
                <w:szCs w:val="20"/>
              </w:rPr>
            </w:pPr>
            <w:r w:rsidRPr="006B1A94">
              <w:rPr>
                <w:sz w:val="20"/>
                <w:szCs w:val="20"/>
              </w:rPr>
              <w:t xml:space="preserve">Mean transcription time </w:t>
            </w:r>
            <w:r>
              <w:rPr>
                <w:sz w:val="20"/>
                <w:szCs w:val="20"/>
              </w:rPr>
              <w:t xml:space="preserve">to generate </w:t>
            </w:r>
            <w:r w:rsidRPr="006B1A94">
              <w:rPr>
                <w:sz w:val="20"/>
                <w:szCs w:val="20"/>
              </w:rPr>
              <w:t>one mRNA molecule (min)</w:t>
            </w:r>
          </w:p>
        </w:tc>
        <w:tc>
          <w:tcPr>
            <w:tcW w:w="1260" w:type="dxa"/>
          </w:tcPr>
          <w:p w14:paraId="60DDCA2C" w14:textId="77777777" w:rsidR="00642803" w:rsidRPr="006B1A94" w:rsidRDefault="00642803" w:rsidP="00B876A7">
            <w:pPr>
              <w:rPr>
                <w:sz w:val="20"/>
                <w:szCs w:val="20"/>
              </w:rPr>
            </w:pPr>
            <w:r w:rsidRPr="006B1A94">
              <w:rPr>
                <w:sz w:val="20"/>
                <w:szCs w:val="20"/>
              </w:rPr>
              <w:t>0.33</w:t>
            </w:r>
          </w:p>
        </w:tc>
        <w:tc>
          <w:tcPr>
            <w:tcW w:w="4590" w:type="dxa"/>
          </w:tcPr>
          <w:p w14:paraId="37A1E79B" w14:textId="77777777" w:rsidR="00642803" w:rsidRPr="006B1A94" w:rsidRDefault="00642803" w:rsidP="00B876A7">
            <w:pPr>
              <w:rPr>
                <w:sz w:val="20"/>
                <w:szCs w:val="20"/>
              </w:rPr>
            </w:pPr>
            <w:r w:rsidRPr="006B1A94">
              <w:rPr>
                <w:sz w:val="20"/>
                <w:szCs w:val="20"/>
              </w:rPr>
              <w:t xml:space="preserve">Estimated from </w:t>
            </w:r>
            <w:r w:rsidRPr="006B1A94">
              <w:rPr>
                <w:sz w:val="20"/>
                <w:szCs w:val="20"/>
              </w:rPr>
              <w:fldChar w:fldCharType="begin"/>
            </w:r>
            <w:r>
              <w:rPr>
                <w:sz w:val="20"/>
                <w:szCs w:val="20"/>
              </w:rPr>
              <w:instrText xml:space="preserve"> ADDIN ZOTERO_ITEM CSL_CITATION {"citationID":"XTy6yZFQ","properties":{"formattedCitation":"(Bremer and Dennis, 2008)","plainCitation":"(Bremer and Dennis, 2008)","noteIndex":0},"citationItems":[{"id":696,"uris":["http://zotero.org/groups/4731724/items/LRIWCE49"],"itemData":{"id":696,"type":"article-journal","abstract":"This review begins by briefly presenting the history of research on the chemical composition and other parameters of cells of E. coli and S. enterica at different exponential growth rates. Studies have allowed us to determine the in vivo strength of promoters and have allowed us to distinguish between factor-dependent transcriptional control of the promoter and changes in promoter activity due to changes in the concentration of free functional RNA polymerase associated with different growth conditions. The total, or bulk, amounts of RNA and protein are linked to the growth rate, because most bacterial RNA is ribosomal RNA (rRNA). Since ribosomes are required for protein synthesis, their number and their rate of function determine the rate of protein synthesis and cytoplasmic mass accumulation. Many mRNAs made in the presence of amino acids have strong ribosome binding sites whose presence reduces the expression of all other active genes. This implies that there can be profound differences in the spectrum of gene activities in cultures grown in different media that produce the same growth rate. Five classes of growth-related parameters that are generally useful in describing or establishing the macromolecular composition of bacterial cultures are described in detail in this review. A number of equations have been reported that describe the macromolecular composition of an average cell in an exponential culture as a function of the culture doubling time and five additional parameters: the C- and D-periods, protein per origin (PO), ribosome activity, and peptide chain elongation rate.","container-title":"EcoSal Plus","DOI":"10.1128/ecosal.5.2.3","ISSN":"2324-6200","issue":"1","journalAbbreviation":"EcoSal Plus","language":"eng","note":"PMID: 26443740","source":"PubMed","title":"Modulation of Chemical Composition and Other Parameters of the Cell at Different Exponential Growth Rates","volume":"3","author":[{"family":"Bremer","given":"Hans"},{"family":"Dennis","given":"Patrick P."}],"issued":{"date-parts":[["2008",9]]}}}],"schema":"https://github.com/citation-style-language/schema/raw/master/csl-citation.json"} </w:instrText>
            </w:r>
            <w:r w:rsidRPr="006B1A94">
              <w:rPr>
                <w:sz w:val="20"/>
                <w:szCs w:val="20"/>
              </w:rPr>
              <w:fldChar w:fldCharType="separate"/>
            </w:r>
            <w:r w:rsidRPr="006B1A94">
              <w:rPr>
                <w:noProof/>
                <w:sz w:val="20"/>
                <w:szCs w:val="20"/>
              </w:rPr>
              <w:t>(Bremer and Dennis, 2008)</w:t>
            </w:r>
            <w:r w:rsidRPr="006B1A94">
              <w:rPr>
                <w:sz w:val="20"/>
                <w:szCs w:val="20"/>
              </w:rPr>
              <w:fldChar w:fldCharType="end"/>
            </w:r>
          </w:p>
        </w:tc>
      </w:tr>
      <w:tr w:rsidR="00642803" w:rsidRPr="006B1A94" w14:paraId="34C150A1" w14:textId="77777777" w:rsidTr="00B876A7">
        <w:trPr>
          <w:trHeight w:val="683"/>
        </w:trPr>
        <w:tc>
          <w:tcPr>
            <w:tcW w:w="985" w:type="dxa"/>
            <w:shd w:val="clear" w:color="auto" w:fill="auto"/>
          </w:tcPr>
          <w:p w14:paraId="5F50D7AD" w14:textId="77777777" w:rsidR="00642803" w:rsidRPr="006B1A94" w:rsidRDefault="00642803" w:rsidP="00B876A7">
            <w:pPr>
              <w:rPr>
                <w:rFonts w:ascii="Calibri" w:eastAsia="PMingLiU" w:hAnsi="Calibri" w:cs="Times New Roman"/>
                <w:sz w:val="20"/>
                <w:szCs w:val="20"/>
              </w:rPr>
            </w:pPr>
            <m:oMathPara>
              <m:oMath>
                <m:sSub>
                  <m:sSubPr>
                    <m:ctrlPr>
                      <w:rPr>
                        <w:rFonts w:ascii="Cambria Math" w:hAnsi="Cambria Math"/>
                        <w:i/>
                        <w:sz w:val="20"/>
                        <w:szCs w:val="20"/>
                      </w:rPr>
                    </m:ctrlPr>
                  </m:sSubPr>
                  <m:e>
                    <m:r>
                      <w:rPr>
                        <w:rFonts w:ascii="Cambria Math" w:hAnsi="Cambria Math"/>
                        <w:sz w:val="20"/>
                        <w:szCs w:val="20"/>
                      </w:rPr>
                      <m:t>r</m:t>
                    </m:r>
                  </m:e>
                  <m:sub>
                    <m:r>
                      <w:rPr>
                        <w:rFonts w:ascii="Cambria Math" w:hAnsi="Cambria Math"/>
                        <w:sz w:val="20"/>
                        <w:szCs w:val="20"/>
                      </w:rPr>
                      <m:t>1</m:t>
                    </m:r>
                  </m:sub>
                </m:sSub>
              </m:oMath>
            </m:oMathPara>
          </w:p>
        </w:tc>
        <w:tc>
          <w:tcPr>
            <w:tcW w:w="2430" w:type="dxa"/>
            <w:shd w:val="clear" w:color="auto" w:fill="auto"/>
          </w:tcPr>
          <w:p w14:paraId="3B6EEC41" w14:textId="77777777" w:rsidR="00642803" w:rsidRPr="006B1A94" w:rsidRDefault="00642803" w:rsidP="00B876A7">
            <w:pPr>
              <w:rPr>
                <w:sz w:val="20"/>
                <w:szCs w:val="20"/>
              </w:rPr>
            </w:pPr>
            <w:r>
              <w:rPr>
                <w:sz w:val="20"/>
                <w:szCs w:val="20"/>
              </w:rPr>
              <w:t>B</w:t>
            </w:r>
            <w:r w:rsidRPr="006B1A94">
              <w:rPr>
                <w:sz w:val="20"/>
                <w:szCs w:val="20"/>
              </w:rPr>
              <w:t>ulk transcription rate (10</w:t>
            </w:r>
            <w:r w:rsidRPr="006B1A94">
              <w:rPr>
                <w:rFonts w:cs="Times New Roman (Body CS)"/>
                <w:sz w:val="20"/>
                <w:szCs w:val="20"/>
                <w:vertAlign w:val="superscript"/>
              </w:rPr>
              <w:t>-3</w:t>
            </w:r>
            <w:r w:rsidRPr="006B1A94">
              <w:rPr>
                <w:sz w:val="20"/>
                <w:szCs w:val="20"/>
              </w:rPr>
              <w:t>/min)</w:t>
            </w:r>
          </w:p>
        </w:tc>
        <w:tc>
          <w:tcPr>
            <w:tcW w:w="1260" w:type="dxa"/>
            <w:shd w:val="clear" w:color="auto" w:fill="auto"/>
          </w:tcPr>
          <w:p w14:paraId="296A3C60" w14:textId="77777777" w:rsidR="00642803" w:rsidRPr="006B1A94" w:rsidRDefault="00642803" w:rsidP="00B876A7">
            <w:pPr>
              <w:rPr>
                <w:sz w:val="20"/>
                <w:szCs w:val="20"/>
              </w:rPr>
            </w:pPr>
            <w:r w:rsidRPr="006B1A94">
              <w:rPr>
                <w:sz w:val="20"/>
                <w:szCs w:val="20"/>
              </w:rPr>
              <w:t>1.99</w:t>
            </w:r>
          </w:p>
        </w:tc>
        <w:tc>
          <w:tcPr>
            <w:tcW w:w="4590" w:type="dxa"/>
            <w:shd w:val="clear" w:color="auto" w:fill="auto"/>
          </w:tcPr>
          <w:p w14:paraId="6B9B02A4" w14:textId="77777777" w:rsidR="00642803" w:rsidRPr="006B1A94" w:rsidRDefault="00642803" w:rsidP="00B876A7">
            <w:pPr>
              <w:rPr>
                <w:color w:val="000000" w:themeColor="text1"/>
                <w:sz w:val="20"/>
                <w:szCs w:val="20"/>
              </w:rPr>
            </w:pPr>
            <m:oMathPara>
              <m:oMathParaPr>
                <m:jc m:val="left"/>
              </m:oMathParaP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r</m:t>
                    </m:r>
                  </m:e>
                  <m:sub>
                    <m:r>
                      <w:rPr>
                        <w:rFonts w:ascii="Cambria Math" w:hAnsi="Cambria Math"/>
                        <w:color w:val="000000" w:themeColor="text1"/>
                        <w:sz w:val="20"/>
                        <w:szCs w:val="20"/>
                      </w:rPr>
                      <m:t>1</m:t>
                    </m:r>
                  </m:sub>
                </m:sSub>
                <m:r>
                  <w:rPr>
                    <w:rFonts w:ascii="Cambria Math" w:hAnsi="Cambria Math"/>
                    <w:color w:val="000000" w:themeColor="text1"/>
                    <w:sz w:val="20"/>
                    <w:szCs w:val="20"/>
                  </w:rPr>
                  <m:t>=</m:t>
                </m:r>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θ</m:t>
                    </m:r>
                  </m:e>
                  <m:sub>
                    <m:r>
                      <w:rPr>
                        <w:rFonts w:ascii="Cambria Math" w:hAnsi="Cambria Math"/>
                        <w:color w:val="000000" w:themeColor="text1"/>
                        <w:sz w:val="20"/>
                        <w:szCs w:val="20"/>
                      </w:rPr>
                      <m:t>RNAP</m:t>
                    </m:r>
                  </m:sub>
                </m:sSub>
                <m:sSub>
                  <m:sSubPr>
                    <m:ctrlPr>
                      <w:rPr>
                        <w:rFonts w:ascii="Cambria Math" w:hAnsi="Cambria Math"/>
                        <w:i/>
                        <w:color w:val="000000" w:themeColor="text1"/>
                        <w:sz w:val="20"/>
                        <w:szCs w:val="20"/>
                      </w:rPr>
                    </m:ctrlPr>
                  </m:sSubPr>
                  <m:e>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β</m:t>
                        </m:r>
                      </m:e>
                      <m:sub>
                        <m:r>
                          <w:rPr>
                            <w:rFonts w:ascii="Cambria Math" w:hAnsi="Cambria Math"/>
                            <w:color w:val="000000" w:themeColor="text1"/>
                            <w:sz w:val="20"/>
                            <w:szCs w:val="20"/>
                          </w:rPr>
                          <m:t>mRNA</m:t>
                        </m:r>
                      </m:sub>
                    </m:sSub>
                    <m:r>
                      <w:rPr>
                        <w:rFonts w:ascii="Cambria Math" w:hAnsi="Cambria Math"/>
                        <w:color w:val="000000" w:themeColor="text1"/>
                        <w:sz w:val="20"/>
                        <w:szCs w:val="20"/>
                      </w:rPr>
                      <m:t xml:space="preserve"> /T</m:t>
                    </m:r>
                  </m:e>
                  <m:sub>
                    <m:r>
                      <w:rPr>
                        <w:rFonts w:ascii="Cambria Math" w:hAnsi="Cambria Math"/>
                        <w:color w:val="000000" w:themeColor="text1"/>
                        <w:sz w:val="20"/>
                        <w:szCs w:val="20"/>
                      </w:rPr>
                      <m:t>RNAP</m:t>
                    </m:r>
                  </m:sub>
                </m:sSub>
              </m:oMath>
            </m:oMathPara>
          </w:p>
        </w:tc>
      </w:tr>
      <w:tr w:rsidR="00642803" w:rsidRPr="006B1A94" w14:paraId="3848E98E" w14:textId="77777777" w:rsidTr="00B876A7">
        <w:tc>
          <w:tcPr>
            <w:tcW w:w="985" w:type="dxa"/>
          </w:tcPr>
          <w:p w14:paraId="773EFE7C" w14:textId="77777777" w:rsidR="00642803" w:rsidRPr="006B1A94" w:rsidRDefault="00642803" w:rsidP="00B876A7">
            <w:pPr>
              <w:rPr>
                <w:rFonts w:ascii="Calibri" w:eastAsia="PMingLiU" w:hAnsi="Calibri" w:cs="Times New Roman"/>
                <w:sz w:val="20"/>
                <w:szCs w:val="20"/>
              </w:rPr>
            </w:pPr>
            <m:oMathPara>
              <m:oMath>
                <m:sSub>
                  <m:sSubPr>
                    <m:ctrlPr>
                      <w:rPr>
                        <w:rFonts w:ascii="Cambria Math" w:hAnsi="Cambria Math"/>
                        <w:i/>
                        <w:sz w:val="20"/>
                        <w:szCs w:val="20"/>
                      </w:rPr>
                    </m:ctrlPr>
                  </m:sSubPr>
                  <m:e>
                    <m:r>
                      <w:rPr>
                        <w:rFonts w:ascii="Cambria Math" w:hAnsi="Cambria Math"/>
                        <w:sz w:val="20"/>
                        <w:szCs w:val="20"/>
                      </w:rPr>
                      <m:t>n</m:t>
                    </m:r>
                  </m:e>
                  <m:sub>
                    <m:r>
                      <w:rPr>
                        <w:rFonts w:ascii="Cambria Math" w:hAnsi="Cambria Math"/>
                        <w:sz w:val="20"/>
                        <w:szCs w:val="20"/>
                      </w:rPr>
                      <m:t>ribo</m:t>
                    </m:r>
                  </m:sub>
                </m:sSub>
              </m:oMath>
            </m:oMathPara>
          </w:p>
        </w:tc>
        <w:tc>
          <w:tcPr>
            <w:tcW w:w="2430" w:type="dxa"/>
          </w:tcPr>
          <w:p w14:paraId="46B5DE9F" w14:textId="77777777" w:rsidR="00642803" w:rsidRPr="006B1A94" w:rsidRDefault="00642803" w:rsidP="00B876A7">
            <w:pPr>
              <w:rPr>
                <w:sz w:val="20"/>
                <w:szCs w:val="20"/>
              </w:rPr>
            </w:pPr>
            <w:r>
              <w:rPr>
                <w:sz w:val="20"/>
                <w:szCs w:val="20"/>
              </w:rPr>
              <w:t>N</w:t>
            </w:r>
            <w:r w:rsidRPr="006B1A94">
              <w:rPr>
                <w:sz w:val="20"/>
                <w:szCs w:val="20"/>
              </w:rPr>
              <w:t>umber of ribosome</w:t>
            </w:r>
            <w:r>
              <w:rPr>
                <w:sz w:val="20"/>
                <w:szCs w:val="20"/>
              </w:rPr>
              <w:t>s</w:t>
            </w:r>
          </w:p>
          <w:p w14:paraId="4A2A521A" w14:textId="77777777" w:rsidR="00642803" w:rsidRPr="006B1A94" w:rsidRDefault="00642803" w:rsidP="00B876A7">
            <w:pPr>
              <w:rPr>
                <w:sz w:val="20"/>
                <w:szCs w:val="20"/>
              </w:rPr>
            </w:pPr>
            <w:r w:rsidRPr="006B1A94">
              <w:rPr>
                <w:sz w:val="20"/>
                <w:szCs w:val="20"/>
              </w:rPr>
              <w:t xml:space="preserve">in </w:t>
            </w:r>
            <w:r>
              <w:rPr>
                <w:sz w:val="20"/>
                <w:szCs w:val="20"/>
              </w:rPr>
              <w:t>a</w:t>
            </w:r>
            <w:r w:rsidRPr="006B1A94">
              <w:rPr>
                <w:sz w:val="20"/>
                <w:szCs w:val="20"/>
              </w:rPr>
              <w:t xml:space="preserve"> cell (10</w:t>
            </w:r>
            <w:r w:rsidRPr="006B1A94">
              <w:rPr>
                <w:rFonts w:cs="Times New Roman (Body CS)"/>
                <w:sz w:val="20"/>
                <w:szCs w:val="20"/>
                <w:vertAlign w:val="superscript"/>
              </w:rPr>
              <w:t>3</w:t>
            </w:r>
            <w:r w:rsidRPr="006B1A94">
              <w:rPr>
                <w:sz w:val="20"/>
                <w:szCs w:val="20"/>
              </w:rPr>
              <w:t>)</w:t>
            </w:r>
          </w:p>
        </w:tc>
        <w:tc>
          <w:tcPr>
            <w:tcW w:w="1260" w:type="dxa"/>
          </w:tcPr>
          <w:p w14:paraId="549C8F34" w14:textId="77777777" w:rsidR="00642803" w:rsidRPr="006B1A94" w:rsidRDefault="00642803" w:rsidP="00B876A7">
            <w:pPr>
              <w:rPr>
                <w:sz w:val="20"/>
                <w:szCs w:val="20"/>
              </w:rPr>
            </w:pPr>
            <w:r w:rsidRPr="006B1A94">
              <w:rPr>
                <w:sz w:val="20"/>
                <w:szCs w:val="20"/>
              </w:rPr>
              <w:t>26</w:t>
            </w:r>
          </w:p>
        </w:tc>
        <w:tc>
          <w:tcPr>
            <w:tcW w:w="4590" w:type="dxa"/>
          </w:tcPr>
          <w:p w14:paraId="152E9CFA" w14:textId="77777777" w:rsidR="00642803" w:rsidRPr="006B1A94" w:rsidRDefault="00642803" w:rsidP="00B876A7">
            <w:pPr>
              <w:rPr>
                <w:sz w:val="20"/>
                <w:szCs w:val="20"/>
              </w:rPr>
            </w:pPr>
            <w:r w:rsidRPr="006B1A94">
              <w:rPr>
                <w:sz w:val="20"/>
                <w:szCs w:val="20"/>
              </w:rPr>
              <w:t xml:space="preserve">Estimated from </w:t>
            </w:r>
            <w:r w:rsidRPr="006B1A94">
              <w:rPr>
                <w:sz w:val="20"/>
                <w:szCs w:val="20"/>
              </w:rPr>
              <w:fldChar w:fldCharType="begin"/>
            </w:r>
            <w:r>
              <w:rPr>
                <w:sz w:val="20"/>
                <w:szCs w:val="20"/>
              </w:rPr>
              <w:instrText xml:space="preserve"> ADDIN ZOTERO_ITEM CSL_CITATION {"citationID":"xOWhGNs7","properties":{"formattedCitation":"(Bremer and Dennis, 2008)","plainCitation":"(Bremer and Dennis, 2008)","noteIndex":0},"citationItems":[{"id":696,"uris":["http://zotero.org/groups/4731724/items/LRIWCE49"],"itemData":{"id":696,"type":"article-journal","abstract":"This review begins by briefly presenting the history of research on the chemical composition and other parameters of cells of E. coli and S. enterica at different exponential growth rates. Studies have allowed us to determine the in vivo strength of promoters and have allowed us to distinguish between factor-dependent transcriptional control of the promoter and changes in promoter activity due to changes in the concentration of free functional RNA polymerase associated with different growth conditions. The total, or bulk, amounts of RNA and protein are linked to the growth rate, because most bacterial RNA is ribosomal RNA (rRNA). Since ribosomes are required for protein synthesis, their number and their rate of function determine the rate of protein synthesis and cytoplasmic mass accumulation. Many mRNAs made in the presence of amino acids have strong ribosome binding sites whose presence reduces the expression of all other active genes. This implies that there can be profound differences in the spectrum of gene activities in cultures grown in different media that produce the same growth rate. Five classes of growth-related parameters that are generally useful in describing or establishing the macromolecular composition of bacterial cultures are described in detail in this review. A number of equations have been reported that describe the macromolecular composition of an average cell in an exponential culture as a function of the culture doubling time and five additional parameters: the C- and D-periods, protein per origin (PO), ribosome activity, and peptide chain elongation rate.","container-title":"EcoSal Plus","DOI":"10.1128/ecosal.5.2.3","ISSN":"2324-6200","issue":"1","journalAbbreviation":"EcoSal Plus","language":"eng","note":"PMID: 26443740","source":"PubMed","title":"Modulation of Chemical Composition and Other Parameters of the Cell at Different Exponential Growth Rates","volume":"3","author":[{"family":"Bremer","given":"Hans"},{"family":"Dennis","given":"Patrick P."}],"issued":{"date-parts":[["2008",9]]}}}],"schema":"https://github.com/citation-style-language/schema/raw/master/csl-citation.json"} </w:instrText>
            </w:r>
            <w:r w:rsidRPr="006B1A94">
              <w:rPr>
                <w:sz w:val="20"/>
                <w:szCs w:val="20"/>
              </w:rPr>
              <w:fldChar w:fldCharType="separate"/>
            </w:r>
            <w:r w:rsidRPr="006B1A94">
              <w:rPr>
                <w:noProof/>
                <w:sz w:val="20"/>
                <w:szCs w:val="20"/>
              </w:rPr>
              <w:t>(Bremer and Dennis, 2008)</w:t>
            </w:r>
            <w:r w:rsidRPr="006B1A94">
              <w:rPr>
                <w:sz w:val="20"/>
                <w:szCs w:val="20"/>
              </w:rPr>
              <w:fldChar w:fldCharType="end"/>
            </w:r>
          </w:p>
        </w:tc>
      </w:tr>
      <w:tr w:rsidR="00642803" w:rsidRPr="006B1A94" w14:paraId="4E5E9D5D" w14:textId="77777777" w:rsidTr="00B876A7">
        <w:trPr>
          <w:trHeight w:val="413"/>
        </w:trPr>
        <w:tc>
          <w:tcPr>
            <w:tcW w:w="985" w:type="dxa"/>
          </w:tcPr>
          <w:p w14:paraId="6034B20B" w14:textId="77777777" w:rsidR="00642803" w:rsidRPr="006B1A94" w:rsidRDefault="00642803" w:rsidP="00B876A7">
            <w:pPr>
              <w:rPr>
                <w:rFonts w:ascii="Calibri" w:eastAsia="PMingLiU" w:hAnsi="Calibri" w:cs="Times New Roman"/>
                <w:sz w:val="20"/>
                <w:szCs w:val="20"/>
              </w:rPr>
            </w:pPr>
            <m:oMathPara>
              <m:oMath>
                <m:sSub>
                  <m:sSubPr>
                    <m:ctrlPr>
                      <w:rPr>
                        <w:rFonts w:ascii="Cambria Math" w:hAnsi="Cambria Math"/>
                        <w:i/>
                        <w:sz w:val="20"/>
                        <w:szCs w:val="20"/>
                      </w:rPr>
                    </m:ctrlPr>
                  </m:sSubPr>
                  <m:e>
                    <m:r>
                      <w:rPr>
                        <w:rFonts w:ascii="Cambria Math" w:hAnsi="Cambria Math"/>
                        <w:sz w:val="20"/>
                        <w:szCs w:val="20"/>
                      </w:rPr>
                      <m:t>n</m:t>
                    </m:r>
                  </m:e>
                  <m:sub>
                    <m:r>
                      <w:rPr>
                        <w:rFonts w:ascii="Cambria Math" w:hAnsi="Cambria Math"/>
                        <w:sz w:val="20"/>
                        <w:szCs w:val="20"/>
                      </w:rPr>
                      <m:t>protein</m:t>
                    </m:r>
                  </m:sub>
                </m:sSub>
              </m:oMath>
            </m:oMathPara>
          </w:p>
        </w:tc>
        <w:tc>
          <w:tcPr>
            <w:tcW w:w="2430" w:type="dxa"/>
          </w:tcPr>
          <w:p w14:paraId="609F3872" w14:textId="77777777" w:rsidR="00642803" w:rsidRPr="006B1A94" w:rsidRDefault="00642803" w:rsidP="00B876A7">
            <w:pPr>
              <w:rPr>
                <w:sz w:val="20"/>
                <w:szCs w:val="20"/>
              </w:rPr>
            </w:pPr>
            <w:r>
              <w:rPr>
                <w:sz w:val="20"/>
                <w:szCs w:val="20"/>
              </w:rPr>
              <w:t>N</w:t>
            </w:r>
            <w:r w:rsidRPr="006B1A94">
              <w:rPr>
                <w:sz w:val="20"/>
                <w:szCs w:val="20"/>
              </w:rPr>
              <w:t>umber of protein</w:t>
            </w:r>
            <w:r>
              <w:rPr>
                <w:sz w:val="20"/>
                <w:szCs w:val="20"/>
              </w:rPr>
              <w:t>s</w:t>
            </w:r>
          </w:p>
          <w:p w14:paraId="57454F32" w14:textId="77777777" w:rsidR="00642803" w:rsidRPr="006B1A94" w:rsidRDefault="00642803" w:rsidP="00B876A7">
            <w:pPr>
              <w:rPr>
                <w:sz w:val="20"/>
                <w:szCs w:val="20"/>
              </w:rPr>
            </w:pPr>
            <w:r w:rsidRPr="006B1A94">
              <w:rPr>
                <w:sz w:val="20"/>
                <w:szCs w:val="20"/>
              </w:rPr>
              <w:t xml:space="preserve">in </w:t>
            </w:r>
            <w:r>
              <w:rPr>
                <w:sz w:val="20"/>
                <w:szCs w:val="20"/>
              </w:rPr>
              <w:t>a</w:t>
            </w:r>
            <w:r w:rsidRPr="006B1A94">
              <w:rPr>
                <w:sz w:val="20"/>
                <w:szCs w:val="20"/>
              </w:rPr>
              <w:t xml:space="preserve"> cell (10</w:t>
            </w:r>
            <w:r w:rsidRPr="006B1A94">
              <w:rPr>
                <w:rFonts w:cs="Times New Roman (Body CS)"/>
                <w:sz w:val="20"/>
                <w:szCs w:val="20"/>
                <w:vertAlign w:val="superscript"/>
              </w:rPr>
              <w:t>6</w:t>
            </w:r>
            <w:r w:rsidRPr="006B1A94">
              <w:rPr>
                <w:sz w:val="20"/>
                <w:szCs w:val="20"/>
              </w:rPr>
              <w:t>)</w:t>
            </w:r>
          </w:p>
        </w:tc>
        <w:tc>
          <w:tcPr>
            <w:tcW w:w="1260" w:type="dxa"/>
          </w:tcPr>
          <w:p w14:paraId="18FC0C94" w14:textId="77777777" w:rsidR="00642803" w:rsidRPr="006B1A94" w:rsidRDefault="00642803" w:rsidP="00B876A7">
            <w:pPr>
              <w:rPr>
                <w:sz w:val="20"/>
                <w:szCs w:val="20"/>
              </w:rPr>
            </w:pPr>
            <w:r w:rsidRPr="006B1A94">
              <w:rPr>
                <w:sz w:val="20"/>
                <w:szCs w:val="20"/>
              </w:rPr>
              <w:t>5.29</w:t>
            </w:r>
          </w:p>
        </w:tc>
        <w:tc>
          <w:tcPr>
            <w:tcW w:w="4590" w:type="dxa"/>
          </w:tcPr>
          <w:p w14:paraId="187B5452" w14:textId="77777777" w:rsidR="00642803" w:rsidRPr="006B1A94" w:rsidRDefault="00642803" w:rsidP="00B876A7">
            <w:pPr>
              <w:rPr>
                <w:sz w:val="20"/>
                <w:szCs w:val="20"/>
              </w:rPr>
            </w:pPr>
            <w:r w:rsidRPr="006B1A94">
              <w:rPr>
                <w:sz w:val="20"/>
                <w:szCs w:val="20"/>
              </w:rPr>
              <w:t xml:space="preserve">Estimated from </w:t>
            </w:r>
            <w:r w:rsidRPr="006B1A94">
              <w:rPr>
                <w:sz w:val="20"/>
                <w:szCs w:val="20"/>
              </w:rPr>
              <w:fldChar w:fldCharType="begin"/>
            </w:r>
            <w:r>
              <w:rPr>
                <w:sz w:val="20"/>
                <w:szCs w:val="20"/>
              </w:rPr>
              <w:instrText xml:space="preserve"> ADDIN ZOTERO_ITEM CSL_CITATION {"citationID":"SS1EDy3X","properties":{"formattedCitation":"(Bremer and Dennis, 2008)","plainCitation":"(Bremer and Dennis, 2008)","noteIndex":0},"citationItems":[{"id":696,"uris":["http://zotero.org/groups/4731724/items/LRIWCE49"],"itemData":{"id":696,"type":"article-journal","abstract":"This review begins by briefly presenting the history of research on the chemical composition and other parameters of cells of E. coli and S. enterica at different exponential growth rates. Studies have allowed us to determine the in vivo strength of promoters and have allowed us to distinguish between factor-dependent transcriptional control of the promoter and changes in promoter activity due to changes in the concentration of free functional RNA polymerase associated with different growth conditions. The total, or bulk, amounts of RNA and protein are linked to the growth rate, because most bacterial RNA is ribosomal RNA (rRNA). Since ribosomes are required for protein synthesis, their number and their rate of function determine the rate of protein synthesis and cytoplasmic mass accumulation. Many mRNAs made in the presence of amino acids have strong ribosome binding sites whose presence reduces the expression of all other active genes. This implies that there can be profound differences in the spectrum of gene activities in cultures grown in different media that produce the same growth rate. Five classes of growth-related parameters that are generally useful in describing or establishing the macromolecular composition of bacterial cultures are described in detail in this review. A number of equations have been reported that describe the macromolecular composition of an average cell in an exponential culture as a function of the culture doubling time and five additional parameters: the C- and D-periods, protein per origin (PO), ribosome activity, and peptide chain elongation rate.","container-title":"EcoSal Plus","DOI":"10.1128/ecosal.5.2.3","ISSN":"2324-6200","issue":"1","journalAbbreviation":"EcoSal Plus","language":"eng","note":"PMID: 26443740","source":"PubMed","title":"Modulation of Chemical Composition and Other Parameters of the Cell at Different Exponential Growth Rates","volume":"3","author":[{"family":"Bremer","given":"Hans"},{"family":"Dennis","given":"Patrick P."}],"issued":{"date-parts":[["2008",9]]}}}],"schema":"https://github.com/citation-style-language/schema/raw/master/csl-citation.json"} </w:instrText>
            </w:r>
            <w:r w:rsidRPr="006B1A94">
              <w:rPr>
                <w:sz w:val="20"/>
                <w:szCs w:val="20"/>
              </w:rPr>
              <w:fldChar w:fldCharType="separate"/>
            </w:r>
            <w:r w:rsidRPr="006B1A94">
              <w:rPr>
                <w:noProof/>
                <w:sz w:val="20"/>
                <w:szCs w:val="20"/>
              </w:rPr>
              <w:t>(Bremer and Dennis, 2008)</w:t>
            </w:r>
            <w:r w:rsidRPr="006B1A94">
              <w:rPr>
                <w:sz w:val="20"/>
                <w:szCs w:val="20"/>
              </w:rPr>
              <w:fldChar w:fldCharType="end"/>
            </w:r>
          </w:p>
        </w:tc>
      </w:tr>
      <w:tr w:rsidR="00642803" w:rsidRPr="006B1A94" w14:paraId="7FCE72BD" w14:textId="77777777" w:rsidTr="00B876A7">
        <w:tc>
          <w:tcPr>
            <w:tcW w:w="985" w:type="dxa"/>
          </w:tcPr>
          <w:p w14:paraId="1EC7CEE1" w14:textId="77777777" w:rsidR="00642803" w:rsidRPr="006B1A94" w:rsidRDefault="00642803" w:rsidP="00B876A7">
            <w:pPr>
              <w:rPr>
                <w:sz w:val="20"/>
                <w:szCs w:val="20"/>
              </w:rPr>
            </w:pPr>
            <m:oMathPara>
              <m:oMath>
                <m:sSub>
                  <m:sSubPr>
                    <m:ctrlPr>
                      <w:rPr>
                        <w:rFonts w:ascii="Cambria Math" w:hAnsi="Cambria Math"/>
                        <w:i/>
                        <w:sz w:val="20"/>
                        <w:szCs w:val="20"/>
                      </w:rPr>
                    </m:ctrlPr>
                  </m:sSubPr>
                  <m:e>
                    <m:r>
                      <w:rPr>
                        <w:rFonts w:ascii="Cambria Math" w:hAnsi="Cambria Math"/>
                        <w:sz w:val="20"/>
                        <w:szCs w:val="20"/>
                      </w:rPr>
                      <m:t>θ</m:t>
                    </m:r>
                  </m:e>
                  <m:sub>
                    <m:r>
                      <w:rPr>
                        <w:rFonts w:ascii="Cambria Math" w:hAnsi="Cambria Math"/>
                        <w:sz w:val="20"/>
                        <w:szCs w:val="20"/>
                      </w:rPr>
                      <m:t>ribo</m:t>
                    </m:r>
                  </m:sub>
                </m:sSub>
              </m:oMath>
            </m:oMathPara>
          </w:p>
        </w:tc>
        <w:tc>
          <w:tcPr>
            <w:tcW w:w="2430" w:type="dxa"/>
          </w:tcPr>
          <w:p w14:paraId="72585C43" w14:textId="77777777" w:rsidR="00642803" w:rsidRPr="006B1A94" w:rsidRDefault="00642803" w:rsidP="00B876A7">
            <w:pPr>
              <w:rPr>
                <w:sz w:val="20"/>
                <w:szCs w:val="20"/>
              </w:rPr>
            </w:pPr>
            <w:r>
              <w:rPr>
                <w:sz w:val="20"/>
                <w:szCs w:val="20"/>
              </w:rPr>
              <w:t>R</w:t>
            </w:r>
            <w:r w:rsidRPr="006B1A94">
              <w:rPr>
                <w:sz w:val="20"/>
                <w:szCs w:val="20"/>
              </w:rPr>
              <w:t>atio between ribosome number and protein number (10</w:t>
            </w:r>
            <w:r w:rsidRPr="006B1A94">
              <w:rPr>
                <w:rFonts w:cs="Times New Roman (Body CS)"/>
                <w:sz w:val="20"/>
                <w:szCs w:val="20"/>
                <w:vertAlign w:val="superscript"/>
              </w:rPr>
              <w:t>-3</w:t>
            </w:r>
            <w:r w:rsidRPr="006B1A94">
              <w:rPr>
                <w:sz w:val="20"/>
                <w:szCs w:val="20"/>
              </w:rPr>
              <w:t>)</w:t>
            </w:r>
          </w:p>
        </w:tc>
        <w:tc>
          <w:tcPr>
            <w:tcW w:w="1260" w:type="dxa"/>
          </w:tcPr>
          <w:p w14:paraId="42D85DF7" w14:textId="77777777" w:rsidR="00642803" w:rsidRPr="006B1A94" w:rsidRDefault="00642803" w:rsidP="00B876A7">
            <w:pPr>
              <w:rPr>
                <w:sz w:val="20"/>
                <w:szCs w:val="20"/>
              </w:rPr>
            </w:pPr>
            <w:r w:rsidRPr="006B1A94">
              <w:rPr>
                <w:sz w:val="20"/>
                <w:szCs w:val="20"/>
              </w:rPr>
              <w:t>4.91</w:t>
            </w:r>
          </w:p>
        </w:tc>
        <w:tc>
          <w:tcPr>
            <w:tcW w:w="4590" w:type="dxa"/>
          </w:tcPr>
          <w:p w14:paraId="0199AEAA" w14:textId="77777777" w:rsidR="00642803" w:rsidRPr="006B1A94" w:rsidRDefault="00642803" w:rsidP="00B876A7">
            <w:pPr>
              <w:rPr>
                <w:sz w:val="20"/>
                <w:szCs w:val="20"/>
              </w:rPr>
            </w:pPr>
            <m:oMathPara>
              <m:oMathParaPr>
                <m:jc m:val="left"/>
              </m:oMathParaPr>
              <m:oMath>
                <m:sSub>
                  <m:sSubPr>
                    <m:ctrlPr>
                      <w:rPr>
                        <w:rFonts w:ascii="Cambria Math" w:hAnsi="Cambria Math"/>
                        <w:i/>
                        <w:sz w:val="20"/>
                        <w:szCs w:val="20"/>
                      </w:rPr>
                    </m:ctrlPr>
                  </m:sSubPr>
                  <m:e>
                    <m:r>
                      <w:rPr>
                        <w:rFonts w:ascii="Cambria Math" w:hAnsi="Cambria Math"/>
                        <w:sz w:val="20"/>
                        <w:szCs w:val="20"/>
                      </w:rPr>
                      <m:t>θ</m:t>
                    </m:r>
                  </m:e>
                  <m:sub>
                    <m:r>
                      <w:rPr>
                        <w:rFonts w:ascii="Cambria Math" w:hAnsi="Cambria Math"/>
                        <w:sz w:val="20"/>
                        <w:szCs w:val="20"/>
                      </w:rPr>
                      <m:t>ribo</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n</m:t>
                    </m:r>
                  </m:e>
                  <m:sub>
                    <m:r>
                      <w:rPr>
                        <w:rFonts w:ascii="Cambria Math" w:hAnsi="Cambria Math"/>
                        <w:sz w:val="20"/>
                        <w:szCs w:val="20"/>
                      </w:rPr>
                      <m:t>ribo</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n</m:t>
                    </m:r>
                  </m:e>
                  <m:sub>
                    <m:r>
                      <w:rPr>
                        <w:rFonts w:ascii="Cambria Math" w:hAnsi="Cambria Math"/>
                        <w:sz w:val="20"/>
                        <w:szCs w:val="20"/>
                      </w:rPr>
                      <m:t>protein</m:t>
                    </m:r>
                  </m:sub>
                </m:sSub>
              </m:oMath>
            </m:oMathPara>
          </w:p>
        </w:tc>
      </w:tr>
      <w:tr w:rsidR="00642803" w:rsidRPr="009231DB" w14:paraId="79004C5A" w14:textId="77777777" w:rsidTr="00B876A7">
        <w:trPr>
          <w:trHeight w:val="377"/>
        </w:trPr>
        <w:tc>
          <w:tcPr>
            <w:tcW w:w="985" w:type="dxa"/>
          </w:tcPr>
          <w:p w14:paraId="2E14CBB3" w14:textId="77777777" w:rsidR="00642803" w:rsidRPr="009231DB" w:rsidRDefault="00642803" w:rsidP="00B876A7">
            <w:pPr>
              <w:rPr>
                <w:sz w:val="22"/>
                <w:szCs w:val="22"/>
              </w:rPr>
            </w:pPr>
            <m:oMathPara>
              <m:oMath>
                <m:sSub>
                  <m:sSubPr>
                    <m:ctrlPr>
                      <w:rPr>
                        <w:rFonts w:ascii="Cambria Math" w:hAnsi="Cambria Math"/>
                        <w:i/>
                        <w:sz w:val="22"/>
                        <w:szCs w:val="22"/>
                      </w:rPr>
                    </m:ctrlPr>
                  </m:sSubPr>
                  <m:e>
                    <m:r>
                      <w:rPr>
                        <w:rFonts w:ascii="Cambria Math" w:hAnsi="Cambria Math"/>
                        <w:sz w:val="22"/>
                        <w:szCs w:val="22"/>
                      </w:rPr>
                      <m:t xml:space="preserve"> T</m:t>
                    </m:r>
                  </m:e>
                  <m:sub>
                    <m:r>
                      <w:rPr>
                        <w:rFonts w:ascii="Cambria Math" w:hAnsi="Cambria Math"/>
                        <w:sz w:val="22"/>
                        <w:szCs w:val="22"/>
                      </w:rPr>
                      <m:t>ribo</m:t>
                    </m:r>
                  </m:sub>
                </m:sSub>
              </m:oMath>
            </m:oMathPara>
          </w:p>
        </w:tc>
        <w:tc>
          <w:tcPr>
            <w:tcW w:w="2430" w:type="dxa"/>
          </w:tcPr>
          <w:p w14:paraId="6ED76DF6" w14:textId="77777777" w:rsidR="00642803" w:rsidRPr="00861DA4" w:rsidRDefault="00642803" w:rsidP="00B876A7">
            <w:pPr>
              <w:rPr>
                <w:sz w:val="20"/>
                <w:szCs w:val="20"/>
              </w:rPr>
            </w:pPr>
            <w:r w:rsidRPr="00861DA4">
              <w:rPr>
                <w:sz w:val="20"/>
                <w:szCs w:val="20"/>
              </w:rPr>
              <w:t>Mean translation time for one protein molecule (min)</w:t>
            </w:r>
          </w:p>
        </w:tc>
        <w:tc>
          <w:tcPr>
            <w:tcW w:w="1260" w:type="dxa"/>
          </w:tcPr>
          <w:p w14:paraId="59A271B3" w14:textId="77777777" w:rsidR="00642803" w:rsidRPr="00861DA4" w:rsidRDefault="00642803" w:rsidP="00B876A7">
            <w:pPr>
              <w:rPr>
                <w:sz w:val="20"/>
                <w:szCs w:val="20"/>
              </w:rPr>
            </w:pPr>
            <w:r w:rsidRPr="00861DA4">
              <w:rPr>
                <w:sz w:val="20"/>
                <w:szCs w:val="20"/>
              </w:rPr>
              <w:t>0.25</w:t>
            </w:r>
          </w:p>
        </w:tc>
        <w:tc>
          <w:tcPr>
            <w:tcW w:w="4590" w:type="dxa"/>
          </w:tcPr>
          <w:p w14:paraId="47F0B944" w14:textId="77777777" w:rsidR="00642803" w:rsidRPr="00861DA4" w:rsidRDefault="00642803" w:rsidP="00B876A7">
            <w:pPr>
              <w:rPr>
                <w:sz w:val="20"/>
                <w:szCs w:val="20"/>
              </w:rPr>
            </w:pPr>
            <w:r w:rsidRPr="00861DA4">
              <w:rPr>
                <w:sz w:val="20"/>
                <w:szCs w:val="20"/>
              </w:rPr>
              <w:t xml:space="preserve">Estimated from </w:t>
            </w:r>
            <w:r w:rsidRPr="00861DA4">
              <w:rPr>
                <w:sz w:val="20"/>
                <w:szCs w:val="20"/>
              </w:rPr>
              <w:fldChar w:fldCharType="begin"/>
            </w:r>
            <w:r>
              <w:rPr>
                <w:sz w:val="20"/>
                <w:szCs w:val="20"/>
              </w:rPr>
              <w:instrText xml:space="preserve"> ADDIN ZOTERO_ITEM CSL_CITATION {"citationID":"sES1m27b","properties":{"formattedCitation":"(Bremer and Dennis, 2008)","plainCitation":"(Bremer and Dennis, 2008)","noteIndex":0},"citationItems":[{"id":696,"uris":["http://zotero.org/groups/4731724/items/LRIWCE49"],"itemData":{"id":696,"type":"article-journal","abstract":"This review begins by briefly presenting the history of research on the chemical composition and other parameters of cells of E. coli and S. enterica at different exponential growth rates. Studies have allowed us to determine the in vivo strength of promoters and have allowed us to distinguish between factor-dependent transcriptional control of the promoter and changes in promoter activity due to changes in the concentration of free functional RNA polymerase associated with different growth conditions. The total, or bulk, amounts of RNA and protein are linked to the growth rate, because most bacterial RNA is ribosomal RNA (rRNA). Since ribosomes are required for protein synthesis, their number and their rate of function determine the rate of protein synthesis and cytoplasmic mass accumulation. Many mRNAs made in the presence of amino acids have strong ribosome binding sites whose presence reduces the expression of all other active genes. This implies that there can be profound differences in the spectrum of gene activities in cultures grown in different media that produce the same growth rate. Five classes of growth-related parameters that are generally useful in describing or establishing the macromolecular composition of bacterial cultures are described in detail in this review. A number of equations have been reported that describe the macromolecular composition of an average cell in an exponential culture as a function of the culture doubling time and five additional parameters: the C- and D-periods, protein per origin (PO), ribosome activity, and peptide chain elongation rate.","container-title":"EcoSal Plus","DOI":"10.1128/ecosal.5.2.3","ISSN":"2324-6200","issue":"1","journalAbbreviation":"EcoSal Plus","language":"eng","note":"PMID: 26443740","source":"PubMed","title":"Modulation of Chemical Composition and Other Parameters of the Cell at Different Exponential Growth Rates","volume":"3","author":[{"family":"Bremer","given":"Hans"},{"family":"Dennis","given":"Patrick P."}],"issued":{"date-parts":[["2008",9]]}}}],"schema":"https://github.com/citation-style-language/schema/raw/master/csl-citation.json"} </w:instrText>
            </w:r>
            <w:r w:rsidRPr="00861DA4">
              <w:rPr>
                <w:sz w:val="20"/>
                <w:szCs w:val="20"/>
              </w:rPr>
              <w:fldChar w:fldCharType="separate"/>
            </w:r>
            <w:r w:rsidRPr="00861DA4">
              <w:rPr>
                <w:noProof/>
                <w:sz w:val="20"/>
                <w:szCs w:val="20"/>
              </w:rPr>
              <w:t>(Bremer and Dennis, 2008)</w:t>
            </w:r>
            <w:r w:rsidRPr="00861DA4">
              <w:rPr>
                <w:sz w:val="20"/>
                <w:szCs w:val="20"/>
              </w:rPr>
              <w:fldChar w:fldCharType="end"/>
            </w:r>
          </w:p>
        </w:tc>
      </w:tr>
      <w:tr w:rsidR="00642803" w:rsidRPr="009231DB" w14:paraId="35313E79" w14:textId="77777777" w:rsidTr="00B876A7">
        <w:trPr>
          <w:trHeight w:val="683"/>
        </w:trPr>
        <w:tc>
          <w:tcPr>
            <w:tcW w:w="985" w:type="dxa"/>
            <w:shd w:val="clear" w:color="auto" w:fill="auto"/>
          </w:tcPr>
          <w:p w14:paraId="1B7E130E" w14:textId="77777777" w:rsidR="00642803" w:rsidRPr="009231DB" w:rsidRDefault="00642803" w:rsidP="00B876A7">
            <w:pPr>
              <w:rPr>
                <w:rFonts w:ascii="Calibri" w:eastAsia="PMingLiU" w:hAnsi="Calibri" w:cs="Times New Roman"/>
                <w:sz w:val="22"/>
                <w:szCs w:val="22"/>
              </w:rPr>
            </w:pPr>
            <m:oMathPara>
              <m:oMath>
                <m:sSub>
                  <m:sSubPr>
                    <m:ctrlPr>
                      <w:rPr>
                        <w:rFonts w:ascii="Cambria Math" w:hAnsi="Cambria Math"/>
                        <w:i/>
                        <w:sz w:val="22"/>
                        <w:szCs w:val="22"/>
                      </w:rPr>
                    </m:ctrlPr>
                  </m:sSubPr>
                  <m:e>
                    <m:r>
                      <w:rPr>
                        <w:rFonts w:ascii="Cambria Math" w:hAnsi="Cambria Math"/>
                        <w:sz w:val="22"/>
                        <w:szCs w:val="22"/>
                      </w:rPr>
                      <m:t>r</m:t>
                    </m:r>
                  </m:e>
                  <m:sub>
                    <m:r>
                      <w:rPr>
                        <w:rFonts w:ascii="Cambria Math" w:hAnsi="Cambria Math"/>
                        <w:sz w:val="22"/>
                        <w:szCs w:val="22"/>
                      </w:rPr>
                      <m:t>2</m:t>
                    </m:r>
                  </m:sub>
                </m:sSub>
              </m:oMath>
            </m:oMathPara>
          </w:p>
        </w:tc>
        <w:tc>
          <w:tcPr>
            <w:tcW w:w="2430" w:type="dxa"/>
            <w:shd w:val="clear" w:color="auto" w:fill="auto"/>
          </w:tcPr>
          <w:p w14:paraId="4EADCB63" w14:textId="77777777" w:rsidR="00642803" w:rsidRPr="00861DA4" w:rsidRDefault="00642803" w:rsidP="00B876A7">
            <w:pPr>
              <w:rPr>
                <w:sz w:val="20"/>
                <w:szCs w:val="20"/>
              </w:rPr>
            </w:pPr>
            <w:r>
              <w:rPr>
                <w:sz w:val="20"/>
                <w:szCs w:val="20"/>
              </w:rPr>
              <w:t>B</w:t>
            </w:r>
            <w:r w:rsidRPr="00861DA4">
              <w:rPr>
                <w:sz w:val="20"/>
                <w:szCs w:val="20"/>
              </w:rPr>
              <w:t xml:space="preserve">ulk translation rate </w:t>
            </w:r>
          </w:p>
          <w:p w14:paraId="7C6083DB" w14:textId="77777777" w:rsidR="00642803" w:rsidRPr="00861DA4" w:rsidRDefault="00642803" w:rsidP="00B876A7">
            <w:pPr>
              <w:rPr>
                <w:sz w:val="20"/>
                <w:szCs w:val="20"/>
              </w:rPr>
            </w:pPr>
            <w:r w:rsidRPr="00861DA4">
              <w:rPr>
                <w:sz w:val="20"/>
                <w:szCs w:val="20"/>
              </w:rPr>
              <w:t>(10</w:t>
            </w:r>
            <w:r w:rsidRPr="00861DA4">
              <w:rPr>
                <w:rFonts w:cs="Times New Roman (Body CS)"/>
                <w:sz w:val="20"/>
                <w:szCs w:val="20"/>
                <w:vertAlign w:val="superscript"/>
              </w:rPr>
              <w:t>-3</w:t>
            </w:r>
            <w:r w:rsidRPr="00861DA4">
              <w:rPr>
                <w:sz w:val="20"/>
                <w:szCs w:val="20"/>
              </w:rPr>
              <w:t>/min)</w:t>
            </w:r>
          </w:p>
        </w:tc>
        <w:tc>
          <w:tcPr>
            <w:tcW w:w="1260" w:type="dxa"/>
            <w:shd w:val="clear" w:color="auto" w:fill="auto"/>
          </w:tcPr>
          <w:p w14:paraId="1DAF622B" w14:textId="77777777" w:rsidR="00642803" w:rsidRPr="00861DA4" w:rsidRDefault="00642803" w:rsidP="00B876A7">
            <w:pPr>
              <w:rPr>
                <w:sz w:val="20"/>
                <w:szCs w:val="20"/>
              </w:rPr>
            </w:pPr>
            <w:r w:rsidRPr="00861DA4">
              <w:rPr>
                <w:sz w:val="20"/>
                <w:szCs w:val="20"/>
              </w:rPr>
              <w:t>20.0</w:t>
            </w:r>
          </w:p>
        </w:tc>
        <w:tc>
          <w:tcPr>
            <w:tcW w:w="4590" w:type="dxa"/>
            <w:shd w:val="clear" w:color="auto" w:fill="auto"/>
          </w:tcPr>
          <w:p w14:paraId="6C55DDF7" w14:textId="77777777" w:rsidR="00642803" w:rsidRPr="00861DA4" w:rsidRDefault="00642803" w:rsidP="00B876A7">
            <w:pPr>
              <w:rPr>
                <w:sz w:val="20"/>
                <w:szCs w:val="20"/>
              </w:rPr>
            </w:pPr>
            <m:oMathPara>
              <m:oMathParaPr>
                <m:jc m:val="left"/>
              </m:oMathParaP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r</m:t>
                    </m:r>
                  </m:e>
                  <m:sub>
                    <m:r>
                      <w:rPr>
                        <w:rFonts w:ascii="Cambria Math" w:hAnsi="Cambria Math"/>
                        <w:color w:val="000000" w:themeColor="text1"/>
                        <w:sz w:val="20"/>
                        <w:szCs w:val="20"/>
                      </w:rPr>
                      <m:t>2</m:t>
                    </m:r>
                  </m:sub>
                </m:sSub>
                <m:r>
                  <w:rPr>
                    <w:rFonts w:ascii="Cambria Math" w:hAnsi="Cambria Math"/>
                    <w:color w:val="000000" w:themeColor="text1"/>
                    <w:sz w:val="20"/>
                    <w:szCs w:val="20"/>
                  </w:rPr>
                  <m:t>=</m:t>
                </m:r>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θ</m:t>
                    </m:r>
                  </m:e>
                  <m:sub>
                    <m:r>
                      <w:rPr>
                        <w:rFonts w:ascii="Cambria Math" w:hAnsi="Cambria Math"/>
                        <w:color w:val="000000" w:themeColor="text1"/>
                        <w:sz w:val="20"/>
                        <w:szCs w:val="20"/>
                      </w:rPr>
                      <m:t>ribo</m:t>
                    </m:r>
                  </m:sub>
                </m:sSub>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 xml:space="preserve"> /T</m:t>
                    </m:r>
                  </m:e>
                  <m:sub>
                    <m:r>
                      <w:rPr>
                        <w:rFonts w:ascii="Cambria Math" w:hAnsi="Cambria Math"/>
                        <w:color w:val="000000" w:themeColor="text1"/>
                        <w:sz w:val="20"/>
                        <w:szCs w:val="20"/>
                      </w:rPr>
                      <m:t>ribo</m:t>
                    </m:r>
                  </m:sub>
                </m:sSub>
              </m:oMath>
            </m:oMathPara>
          </w:p>
        </w:tc>
      </w:tr>
    </w:tbl>
    <w:p w14:paraId="3D36779B" w14:textId="77777777" w:rsidR="00642803" w:rsidRDefault="00642803" w:rsidP="00642803"/>
    <w:p w14:paraId="6D97525E" w14:textId="77777777" w:rsidR="00642803" w:rsidRDefault="00642803" w:rsidP="00642803"/>
    <w:p w14:paraId="7C19552F" w14:textId="77777777" w:rsidR="00F94BDB" w:rsidRDefault="00F94BDB" w:rsidP="00642803"/>
    <w:sectPr w:rsidR="00F94BDB" w:rsidSect="005641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Math">
    <w:panose1 w:val="02040503050406030204"/>
    <w:charset w:val="00"/>
    <w:family w:val="roman"/>
    <w:pitch w:val="variable"/>
    <w:sig w:usb0="E00002FF" w:usb1="420024FF" w:usb2="00000000" w:usb3="00000000" w:csb0="0000019F" w:csb1="00000000"/>
  </w:font>
  <w:font w:name="Times New Roman (Body CS)">
    <w:panose1 w:val="020B06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951"/>
    <w:rsid w:val="000B46A5"/>
    <w:rsid w:val="00476CE8"/>
    <w:rsid w:val="00564175"/>
    <w:rsid w:val="005E78D4"/>
    <w:rsid w:val="00642803"/>
    <w:rsid w:val="006A0451"/>
    <w:rsid w:val="00751799"/>
    <w:rsid w:val="008B3951"/>
    <w:rsid w:val="00A3081B"/>
    <w:rsid w:val="00F94B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49EB3B9"/>
  <w15:chartTrackingRefBased/>
  <w15:docId w15:val="{07A426F4-2F28-074B-A7B7-71DB12D31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3951"/>
    <w:rPr>
      <w:rFonts w:eastAsiaTheme="minorEastAsia"/>
      <w:lang w:eastAsia="zh-TW"/>
    </w:rPr>
  </w:style>
  <w:style w:type="paragraph" w:styleId="Heading1">
    <w:name w:val="heading 1"/>
    <w:basedOn w:val="Normal"/>
    <w:next w:val="Normal"/>
    <w:link w:val="Heading1Char"/>
    <w:uiPriority w:val="9"/>
    <w:qFormat/>
    <w:rsid w:val="008B3951"/>
    <w:pPr>
      <w:keepNext/>
      <w:keepLines/>
      <w:spacing w:before="360" w:after="80"/>
      <w:outlineLvl w:val="0"/>
    </w:pPr>
    <w:rPr>
      <w:rFonts w:asciiTheme="majorHAnsi" w:eastAsiaTheme="majorEastAsia" w:hAnsiTheme="majorHAnsi" w:cstheme="majorBidi"/>
      <w:color w:val="0F4761" w:themeColor="accent1" w:themeShade="BF"/>
      <w:sz w:val="40"/>
      <w:szCs w:val="40"/>
      <w:lang w:eastAsia="en-US"/>
    </w:rPr>
  </w:style>
  <w:style w:type="paragraph" w:styleId="Heading2">
    <w:name w:val="heading 2"/>
    <w:basedOn w:val="Normal"/>
    <w:next w:val="Normal"/>
    <w:link w:val="Heading2Char"/>
    <w:uiPriority w:val="9"/>
    <w:semiHidden/>
    <w:unhideWhenUsed/>
    <w:qFormat/>
    <w:rsid w:val="008B3951"/>
    <w:pPr>
      <w:keepNext/>
      <w:keepLines/>
      <w:spacing w:before="160" w:after="80"/>
      <w:outlineLvl w:val="1"/>
    </w:pPr>
    <w:rPr>
      <w:rFonts w:asciiTheme="majorHAnsi" w:eastAsiaTheme="majorEastAsia" w:hAnsiTheme="majorHAnsi" w:cstheme="majorBidi"/>
      <w:color w:val="0F4761" w:themeColor="accent1" w:themeShade="BF"/>
      <w:sz w:val="32"/>
      <w:szCs w:val="32"/>
      <w:lang w:eastAsia="en-US"/>
    </w:rPr>
  </w:style>
  <w:style w:type="paragraph" w:styleId="Heading3">
    <w:name w:val="heading 3"/>
    <w:basedOn w:val="Normal"/>
    <w:next w:val="Normal"/>
    <w:link w:val="Heading3Char"/>
    <w:uiPriority w:val="9"/>
    <w:semiHidden/>
    <w:unhideWhenUsed/>
    <w:qFormat/>
    <w:rsid w:val="008B3951"/>
    <w:pPr>
      <w:keepNext/>
      <w:keepLines/>
      <w:spacing w:before="160" w:after="80"/>
      <w:outlineLvl w:val="2"/>
    </w:pPr>
    <w:rPr>
      <w:rFonts w:eastAsiaTheme="majorEastAsia" w:cstheme="majorBidi"/>
      <w:color w:val="0F4761" w:themeColor="accent1" w:themeShade="BF"/>
      <w:sz w:val="28"/>
      <w:szCs w:val="28"/>
      <w:lang w:eastAsia="en-US"/>
    </w:rPr>
  </w:style>
  <w:style w:type="paragraph" w:styleId="Heading4">
    <w:name w:val="heading 4"/>
    <w:basedOn w:val="Normal"/>
    <w:next w:val="Normal"/>
    <w:link w:val="Heading4Char"/>
    <w:uiPriority w:val="9"/>
    <w:semiHidden/>
    <w:unhideWhenUsed/>
    <w:qFormat/>
    <w:rsid w:val="008B3951"/>
    <w:pPr>
      <w:keepNext/>
      <w:keepLines/>
      <w:spacing w:before="80" w:after="40"/>
      <w:outlineLvl w:val="3"/>
    </w:pPr>
    <w:rPr>
      <w:rFonts w:eastAsiaTheme="majorEastAsia" w:cstheme="majorBidi"/>
      <w:i/>
      <w:iCs/>
      <w:color w:val="0F4761" w:themeColor="accent1" w:themeShade="BF"/>
      <w:lang w:eastAsia="en-US"/>
    </w:rPr>
  </w:style>
  <w:style w:type="paragraph" w:styleId="Heading5">
    <w:name w:val="heading 5"/>
    <w:basedOn w:val="Normal"/>
    <w:next w:val="Normal"/>
    <w:link w:val="Heading5Char"/>
    <w:uiPriority w:val="9"/>
    <w:semiHidden/>
    <w:unhideWhenUsed/>
    <w:qFormat/>
    <w:rsid w:val="008B3951"/>
    <w:pPr>
      <w:keepNext/>
      <w:keepLines/>
      <w:spacing w:before="80" w:after="40"/>
      <w:outlineLvl w:val="4"/>
    </w:pPr>
    <w:rPr>
      <w:rFonts w:eastAsiaTheme="majorEastAsia" w:cstheme="majorBidi"/>
      <w:color w:val="0F4761" w:themeColor="accent1" w:themeShade="BF"/>
      <w:lang w:eastAsia="en-US"/>
    </w:rPr>
  </w:style>
  <w:style w:type="paragraph" w:styleId="Heading6">
    <w:name w:val="heading 6"/>
    <w:basedOn w:val="Normal"/>
    <w:next w:val="Normal"/>
    <w:link w:val="Heading6Char"/>
    <w:uiPriority w:val="9"/>
    <w:semiHidden/>
    <w:unhideWhenUsed/>
    <w:qFormat/>
    <w:rsid w:val="008B3951"/>
    <w:pPr>
      <w:keepNext/>
      <w:keepLines/>
      <w:spacing w:before="40"/>
      <w:outlineLvl w:val="5"/>
    </w:pPr>
    <w:rPr>
      <w:rFonts w:eastAsiaTheme="majorEastAsia" w:cstheme="majorBidi"/>
      <w:i/>
      <w:iCs/>
      <w:color w:val="595959" w:themeColor="text1" w:themeTint="A6"/>
      <w:lang w:eastAsia="en-US"/>
    </w:rPr>
  </w:style>
  <w:style w:type="paragraph" w:styleId="Heading7">
    <w:name w:val="heading 7"/>
    <w:basedOn w:val="Normal"/>
    <w:next w:val="Normal"/>
    <w:link w:val="Heading7Char"/>
    <w:uiPriority w:val="9"/>
    <w:semiHidden/>
    <w:unhideWhenUsed/>
    <w:qFormat/>
    <w:rsid w:val="008B3951"/>
    <w:pPr>
      <w:keepNext/>
      <w:keepLines/>
      <w:spacing w:before="40"/>
      <w:outlineLvl w:val="6"/>
    </w:pPr>
    <w:rPr>
      <w:rFonts w:eastAsiaTheme="majorEastAsia" w:cstheme="majorBidi"/>
      <w:color w:val="595959" w:themeColor="text1" w:themeTint="A6"/>
      <w:lang w:eastAsia="en-US"/>
    </w:rPr>
  </w:style>
  <w:style w:type="paragraph" w:styleId="Heading8">
    <w:name w:val="heading 8"/>
    <w:basedOn w:val="Normal"/>
    <w:next w:val="Normal"/>
    <w:link w:val="Heading8Char"/>
    <w:uiPriority w:val="9"/>
    <w:semiHidden/>
    <w:unhideWhenUsed/>
    <w:qFormat/>
    <w:rsid w:val="008B3951"/>
    <w:pPr>
      <w:keepNext/>
      <w:keepLines/>
      <w:outlineLvl w:val="7"/>
    </w:pPr>
    <w:rPr>
      <w:rFonts w:eastAsiaTheme="majorEastAsia" w:cstheme="majorBidi"/>
      <w:i/>
      <w:iCs/>
      <w:color w:val="272727" w:themeColor="text1" w:themeTint="D8"/>
      <w:lang w:eastAsia="en-US"/>
    </w:rPr>
  </w:style>
  <w:style w:type="paragraph" w:styleId="Heading9">
    <w:name w:val="heading 9"/>
    <w:basedOn w:val="Normal"/>
    <w:next w:val="Normal"/>
    <w:link w:val="Heading9Char"/>
    <w:uiPriority w:val="9"/>
    <w:semiHidden/>
    <w:unhideWhenUsed/>
    <w:qFormat/>
    <w:rsid w:val="008B3951"/>
    <w:pPr>
      <w:keepNext/>
      <w:keepLines/>
      <w:outlineLvl w:val="8"/>
    </w:pPr>
    <w:rPr>
      <w:rFonts w:eastAsiaTheme="majorEastAsia" w:cstheme="majorBidi"/>
      <w:color w:val="272727" w:themeColor="text1" w:themeTint="D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39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39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39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39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39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39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39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39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3951"/>
    <w:rPr>
      <w:rFonts w:eastAsiaTheme="majorEastAsia" w:cstheme="majorBidi"/>
      <w:color w:val="272727" w:themeColor="text1" w:themeTint="D8"/>
    </w:rPr>
  </w:style>
  <w:style w:type="paragraph" w:styleId="Title">
    <w:name w:val="Title"/>
    <w:basedOn w:val="Normal"/>
    <w:next w:val="Normal"/>
    <w:link w:val="TitleChar"/>
    <w:uiPriority w:val="10"/>
    <w:qFormat/>
    <w:rsid w:val="008B3951"/>
    <w:pPr>
      <w:spacing w:after="80"/>
      <w:contextualSpacing/>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uiPriority w:val="10"/>
    <w:rsid w:val="008B39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3951"/>
    <w:pPr>
      <w:numPr>
        <w:ilvl w:val="1"/>
      </w:numPr>
      <w:spacing w:after="160"/>
    </w:pPr>
    <w:rPr>
      <w:rFonts w:eastAsiaTheme="majorEastAsia" w:cstheme="majorBidi"/>
      <w:color w:val="595959" w:themeColor="text1" w:themeTint="A6"/>
      <w:spacing w:val="15"/>
      <w:sz w:val="28"/>
      <w:szCs w:val="28"/>
      <w:lang w:eastAsia="en-US"/>
    </w:rPr>
  </w:style>
  <w:style w:type="character" w:customStyle="1" w:styleId="SubtitleChar">
    <w:name w:val="Subtitle Char"/>
    <w:basedOn w:val="DefaultParagraphFont"/>
    <w:link w:val="Subtitle"/>
    <w:uiPriority w:val="11"/>
    <w:rsid w:val="008B39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3951"/>
    <w:pPr>
      <w:spacing w:before="160" w:after="160"/>
      <w:jc w:val="center"/>
    </w:pPr>
    <w:rPr>
      <w:rFonts w:eastAsiaTheme="minorHAnsi"/>
      <w:i/>
      <w:iCs/>
      <w:color w:val="404040" w:themeColor="text1" w:themeTint="BF"/>
      <w:lang w:eastAsia="en-US"/>
    </w:rPr>
  </w:style>
  <w:style w:type="character" w:customStyle="1" w:styleId="QuoteChar">
    <w:name w:val="Quote Char"/>
    <w:basedOn w:val="DefaultParagraphFont"/>
    <w:link w:val="Quote"/>
    <w:uiPriority w:val="29"/>
    <w:rsid w:val="008B3951"/>
    <w:rPr>
      <w:i/>
      <w:iCs/>
      <w:color w:val="404040" w:themeColor="text1" w:themeTint="BF"/>
    </w:rPr>
  </w:style>
  <w:style w:type="paragraph" w:styleId="ListParagraph">
    <w:name w:val="List Paragraph"/>
    <w:basedOn w:val="Normal"/>
    <w:uiPriority w:val="34"/>
    <w:qFormat/>
    <w:rsid w:val="008B3951"/>
    <w:pPr>
      <w:ind w:left="720"/>
      <w:contextualSpacing/>
    </w:pPr>
    <w:rPr>
      <w:rFonts w:eastAsiaTheme="minorHAnsi"/>
      <w:lang w:eastAsia="en-US"/>
    </w:rPr>
  </w:style>
  <w:style w:type="character" w:styleId="IntenseEmphasis">
    <w:name w:val="Intense Emphasis"/>
    <w:basedOn w:val="DefaultParagraphFont"/>
    <w:uiPriority w:val="21"/>
    <w:qFormat/>
    <w:rsid w:val="008B3951"/>
    <w:rPr>
      <w:i/>
      <w:iCs/>
      <w:color w:val="0F4761" w:themeColor="accent1" w:themeShade="BF"/>
    </w:rPr>
  </w:style>
  <w:style w:type="paragraph" w:styleId="IntenseQuote">
    <w:name w:val="Intense Quote"/>
    <w:basedOn w:val="Normal"/>
    <w:next w:val="Normal"/>
    <w:link w:val="IntenseQuoteChar"/>
    <w:uiPriority w:val="30"/>
    <w:qFormat/>
    <w:rsid w:val="008B3951"/>
    <w:pPr>
      <w:pBdr>
        <w:top w:val="single" w:sz="4" w:space="10" w:color="0F4761" w:themeColor="accent1" w:themeShade="BF"/>
        <w:bottom w:val="single" w:sz="4" w:space="10" w:color="0F4761" w:themeColor="accent1" w:themeShade="BF"/>
      </w:pBdr>
      <w:spacing w:before="360" w:after="360"/>
      <w:ind w:left="864" w:right="864"/>
      <w:jc w:val="center"/>
    </w:pPr>
    <w:rPr>
      <w:rFonts w:eastAsiaTheme="minorHAnsi"/>
      <w:i/>
      <w:iCs/>
      <w:color w:val="0F4761" w:themeColor="accent1" w:themeShade="BF"/>
      <w:lang w:eastAsia="en-US"/>
    </w:rPr>
  </w:style>
  <w:style w:type="character" w:customStyle="1" w:styleId="IntenseQuoteChar">
    <w:name w:val="Intense Quote Char"/>
    <w:basedOn w:val="DefaultParagraphFont"/>
    <w:link w:val="IntenseQuote"/>
    <w:uiPriority w:val="30"/>
    <w:rsid w:val="008B3951"/>
    <w:rPr>
      <w:i/>
      <w:iCs/>
      <w:color w:val="0F4761" w:themeColor="accent1" w:themeShade="BF"/>
    </w:rPr>
  </w:style>
  <w:style w:type="character" w:styleId="IntenseReference">
    <w:name w:val="Intense Reference"/>
    <w:basedOn w:val="DefaultParagraphFont"/>
    <w:uiPriority w:val="32"/>
    <w:qFormat/>
    <w:rsid w:val="008B3951"/>
    <w:rPr>
      <w:b/>
      <w:bCs/>
      <w:smallCaps/>
      <w:color w:val="0F4761" w:themeColor="accent1" w:themeShade="BF"/>
      <w:spacing w:val="5"/>
    </w:rPr>
  </w:style>
  <w:style w:type="table" w:styleId="TableGrid">
    <w:name w:val="Table Grid"/>
    <w:basedOn w:val="TableNormal"/>
    <w:uiPriority w:val="39"/>
    <w:rsid w:val="008B3951"/>
    <w:rPr>
      <w:rFonts w:eastAsiaTheme="minorEastAsia"/>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3524</Words>
  <Characters>20093</Characters>
  <Application>Microsoft Office Word</Application>
  <DocSecurity>0</DocSecurity>
  <Lines>167</Lines>
  <Paragraphs>47</Paragraphs>
  <ScaleCrop>false</ScaleCrop>
  <Company/>
  <LinksUpToDate>false</LinksUpToDate>
  <CharactersWithSpaces>23570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Alexandros Papagiannakis</dc:creator>
  <cp:keywords/>
  <dc:description/>
  <cp:lastModifiedBy>Alexandros Papagiannakis</cp:lastModifiedBy>
  <cp:revision>3</cp:revision>
  <dcterms:created xsi:type="dcterms:W3CDTF">2024-10-27T21:41:00Z</dcterms:created>
  <dcterms:modified xsi:type="dcterms:W3CDTF">2024-10-28T20:58:00Z</dcterms:modified>
</cp:coreProperties>
</file>