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7E6" w:rsidRPr="00D07FAF" w:rsidRDefault="00F428B2" w:rsidP="00A907E6">
      <w:pPr>
        <w:pStyle w:val="Caption"/>
        <w:rPr>
          <w:lang w:val="en-GB"/>
        </w:rPr>
      </w:pPr>
      <w:r>
        <w:rPr>
          <w:lang w:val="en-GB"/>
        </w:rPr>
        <w:t>Supplementary File</w:t>
      </w:r>
      <w:r w:rsidR="00A907E6" w:rsidRPr="00D07FAF">
        <w:rPr>
          <w:lang w:val="en-GB"/>
        </w:rPr>
        <w:t xml:space="preserve"> </w:t>
      </w:r>
      <w:bookmarkStart w:id="0" w:name="_GoBack"/>
      <w:bookmarkEnd w:id="0"/>
      <w:r w:rsidR="00A907E6" w:rsidRPr="00D07FAF">
        <w:rPr>
          <w:b w:val="0"/>
          <w:i/>
        </w:rPr>
        <w:fldChar w:fldCharType="begin"/>
      </w:r>
      <w:r w:rsidR="00A907E6" w:rsidRPr="00D07FAF">
        <w:rPr>
          <w:lang w:val="en-GB"/>
        </w:rPr>
        <w:instrText xml:space="preserve"> SEQ Table \* ARABIC </w:instrText>
      </w:r>
      <w:r w:rsidR="00A907E6" w:rsidRPr="00D07FAF">
        <w:rPr>
          <w:b w:val="0"/>
          <w:i/>
        </w:rPr>
        <w:fldChar w:fldCharType="separate"/>
      </w:r>
      <w:r w:rsidR="00A907E6">
        <w:rPr>
          <w:noProof/>
          <w:lang w:val="en-GB"/>
        </w:rPr>
        <w:t>1</w:t>
      </w:r>
      <w:r w:rsidR="00A907E6" w:rsidRPr="00D07FAF">
        <w:rPr>
          <w:b w:val="0"/>
          <w:i/>
        </w:rPr>
        <w:fldChar w:fldCharType="end"/>
      </w:r>
      <w:r w:rsidR="00A907E6" w:rsidRPr="00D07FAF">
        <w:rPr>
          <w:lang w:val="en-GB"/>
        </w:rPr>
        <w:t xml:space="preserve">: Strains and </w:t>
      </w:r>
      <w:r w:rsidR="00A907E6" w:rsidRPr="00DA2EF3">
        <w:rPr>
          <w:lang w:val="en-US"/>
        </w:rPr>
        <w:t>plasmids</w:t>
      </w:r>
      <w:r w:rsidR="00A907E6" w:rsidRPr="00D07FAF">
        <w:rPr>
          <w:lang w:val="en-GB"/>
        </w:rPr>
        <w:t xml:space="preserve">. </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480"/>
        <w:gridCol w:w="3013"/>
        <w:gridCol w:w="3579"/>
      </w:tblGrid>
      <w:tr w:rsidR="00A907E6" w:rsidRPr="0070482A" w:rsidTr="00421ECF">
        <w:trPr>
          <w:jc w:val="center"/>
        </w:trPr>
        <w:tc>
          <w:tcPr>
            <w:tcW w:w="2480" w:type="dxa"/>
            <w:tcBorders>
              <w:top w:val="single" w:sz="4" w:space="0" w:color="auto"/>
              <w:bottom w:val="single" w:sz="4" w:space="0" w:color="auto"/>
            </w:tcBorders>
          </w:tcPr>
          <w:p w:rsidR="00A907E6" w:rsidRPr="00DA2EF3" w:rsidRDefault="00A907E6" w:rsidP="00421ECF">
            <w:pPr>
              <w:jc w:val="both"/>
              <w:rPr>
                <w:rFonts w:cstheme="minorHAnsi"/>
                <w:b/>
                <w:bCs/>
                <w:sz w:val="18"/>
                <w:szCs w:val="18"/>
                <w:lang w:val="en-GB"/>
              </w:rPr>
            </w:pPr>
          </w:p>
        </w:tc>
        <w:tc>
          <w:tcPr>
            <w:tcW w:w="3013" w:type="dxa"/>
            <w:tcBorders>
              <w:top w:val="single" w:sz="4" w:space="0" w:color="auto"/>
              <w:bottom w:val="single" w:sz="4" w:space="0" w:color="auto"/>
            </w:tcBorders>
          </w:tcPr>
          <w:p w:rsidR="00A907E6" w:rsidRPr="00DA2EF3" w:rsidRDefault="00A907E6" w:rsidP="00421ECF">
            <w:pPr>
              <w:jc w:val="both"/>
              <w:rPr>
                <w:rFonts w:cstheme="minorHAnsi"/>
                <w:b/>
                <w:bCs/>
                <w:sz w:val="18"/>
                <w:szCs w:val="18"/>
                <w:lang w:val="en-GB"/>
              </w:rPr>
            </w:pPr>
            <w:r w:rsidRPr="00DA2EF3">
              <w:rPr>
                <w:rFonts w:cstheme="minorHAnsi"/>
                <w:b/>
                <w:bCs/>
                <w:sz w:val="18"/>
                <w:szCs w:val="18"/>
                <w:lang w:val="en-GB"/>
              </w:rPr>
              <w:t>Properties</w:t>
            </w:r>
          </w:p>
        </w:tc>
        <w:tc>
          <w:tcPr>
            <w:tcW w:w="3579" w:type="dxa"/>
            <w:tcBorders>
              <w:top w:val="single" w:sz="4" w:space="0" w:color="auto"/>
              <w:bottom w:val="single" w:sz="4" w:space="0" w:color="auto"/>
            </w:tcBorders>
          </w:tcPr>
          <w:p w:rsidR="00A907E6" w:rsidRPr="00DA2EF3" w:rsidRDefault="00A907E6" w:rsidP="00421ECF">
            <w:pPr>
              <w:jc w:val="both"/>
              <w:rPr>
                <w:rFonts w:cstheme="minorHAnsi"/>
                <w:b/>
                <w:bCs/>
                <w:sz w:val="18"/>
                <w:szCs w:val="18"/>
                <w:lang w:val="en-GB"/>
              </w:rPr>
            </w:pPr>
            <w:r w:rsidRPr="00DA2EF3">
              <w:rPr>
                <w:rFonts w:cstheme="minorHAnsi"/>
                <w:b/>
                <w:bCs/>
                <w:sz w:val="18"/>
                <w:szCs w:val="18"/>
                <w:lang w:val="en-GB"/>
              </w:rPr>
              <w:t>Reference</w:t>
            </w:r>
          </w:p>
        </w:tc>
      </w:tr>
      <w:tr w:rsidR="00A907E6" w:rsidRPr="0070482A" w:rsidTr="00421ECF">
        <w:trPr>
          <w:jc w:val="center"/>
        </w:trPr>
        <w:tc>
          <w:tcPr>
            <w:tcW w:w="9072" w:type="dxa"/>
            <w:gridSpan w:val="3"/>
            <w:tcBorders>
              <w:top w:val="single" w:sz="4" w:space="0" w:color="auto"/>
            </w:tcBorders>
          </w:tcPr>
          <w:p w:rsidR="00A907E6" w:rsidRPr="00DA2EF3" w:rsidRDefault="00A907E6" w:rsidP="00421ECF">
            <w:pPr>
              <w:jc w:val="both"/>
              <w:rPr>
                <w:rFonts w:cstheme="minorHAnsi"/>
                <w:b/>
                <w:bCs/>
                <w:sz w:val="18"/>
                <w:szCs w:val="18"/>
                <w:lang w:val="en-GB"/>
              </w:rPr>
            </w:pPr>
            <w:r w:rsidRPr="00DA2EF3">
              <w:rPr>
                <w:rFonts w:cstheme="minorHAnsi"/>
                <w:b/>
                <w:bCs/>
                <w:sz w:val="18"/>
                <w:szCs w:val="18"/>
                <w:lang w:val="en-GB"/>
              </w:rPr>
              <w:t>Strains</w:t>
            </w:r>
          </w:p>
        </w:tc>
      </w:tr>
      <w:tr w:rsidR="00A907E6" w:rsidRPr="0070482A"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i/>
                <w:iCs/>
                <w:sz w:val="18"/>
                <w:szCs w:val="18"/>
                <w:lang w:val="en-GB"/>
              </w:rPr>
              <w:t>E.</w:t>
            </w:r>
            <w:r w:rsidRPr="00DA2EF3">
              <w:rPr>
                <w:rFonts w:cstheme="minorHAnsi"/>
                <w:sz w:val="18"/>
                <w:szCs w:val="18"/>
                <w:lang w:val="en-GB"/>
              </w:rPr>
              <w:t xml:space="preserve"> </w:t>
            </w:r>
            <w:r w:rsidRPr="00DA2EF3">
              <w:rPr>
                <w:rFonts w:cstheme="minorHAnsi"/>
                <w:i/>
                <w:iCs/>
                <w:sz w:val="18"/>
                <w:szCs w:val="18"/>
                <w:lang w:val="en-GB"/>
              </w:rPr>
              <w:t>coli</w:t>
            </w:r>
            <w:r w:rsidRPr="00DA2EF3">
              <w:rPr>
                <w:rFonts w:cstheme="minorHAnsi"/>
                <w:sz w:val="18"/>
                <w:szCs w:val="18"/>
                <w:lang w:val="en-GB"/>
              </w:rPr>
              <w:t xml:space="preserve"> DH5</w:t>
            </w:r>
            <w:r w:rsidRPr="00DA2EF3">
              <w:rPr>
                <w:rFonts w:cstheme="minorHAnsi"/>
                <w:sz w:val="18"/>
                <w:szCs w:val="18"/>
              </w:rPr>
              <w:t>α</w:t>
            </w:r>
          </w:p>
        </w:tc>
        <w:tc>
          <w:tcPr>
            <w:tcW w:w="3013" w:type="dxa"/>
          </w:tcPr>
          <w:p w:rsidR="00A907E6" w:rsidRPr="00DA2EF3" w:rsidRDefault="00A907E6" w:rsidP="00421ECF">
            <w:pPr>
              <w:tabs>
                <w:tab w:val="left" w:pos="1610"/>
              </w:tabs>
              <w:jc w:val="both"/>
              <w:rPr>
                <w:rFonts w:cstheme="minorHAnsi"/>
                <w:sz w:val="18"/>
                <w:szCs w:val="18"/>
                <w:lang w:val="en-GB"/>
              </w:rPr>
            </w:pPr>
            <w:r w:rsidRPr="00DA2EF3">
              <w:rPr>
                <w:rFonts w:cstheme="minorHAnsi"/>
                <w:sz w:val="18"/>
                <w:szCs w:val="18"/>
                <w:lang w:val="en-GB"/>
              </w:rPr>
              <w:t>General cloning strain</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rPr>
              <w:fldChar w:fldCharType="begin"/>
            </w:r>
            <w:r w:rsidRPr="00DA2EF3">
              <w:rPr>
                <w:rFonts w:cstheme="minorHAnsi"/>
                <w:sz w:val="18"/>
                <w:szCs w:val="18"/>
              </w:rPr>
              <w:instrText xml:space="preserve"> ADDIN ZOTERO_ITEM CSL_CITATION {"citationID":"J0Ns2Nae","properties":{"formattedCitation":"(Hanahan, 1983)","plainCitation":"(Hanahan, 1983)","noteIndex":0},"citationItems":[{"id":1854,"uris":["http://zotero.org/users/9074001/items/3I6LECVK"],"itemData":{"id":1854,"type":"article-journal","abstract":"Factors that affect the probability of genetic transformation of Escherichia coli by plasmids have been evaluated. A set of conditions is described under which about one in every 400 plasmid molecules produces a transformed cell. These conditions include cell growth in medium containing elevated levels of Mg2+, and incubation of the cells at 0 degrees C in a solution of Mn2+, Ca2+, Rb+ or K+, dimethyl sulfoxide, dithiothreitol, and hexamine cobalt (III). Transformation efficiency declines linearly with increasing plasmid size. Relaxed and supercoiled plasmids transform with similar probabilities. Non-transforming DNAs compete consistent with mass. No significant variation is observed between competing DNAs of different source, complexity, length or form. Competition with both transforming and non-transforming plasmids indicates that each cell is capable of taking up many DNA molecules, and that the establishment of a transformation event is neither helped nor hindered significantly by the presence of multiple plasmids.","container-title":"Journal of Molecular Biology","DOI":"10.1016/s0022-2836(83)80284-8","ISSN":"0022-2836","issue":"4","journalAbbreviation":"J Mol Biol","language":"eng","note":"PMID: 6345791","page":"557-580","source":"PubMed","title":"Studies on transformation of Escherichia coli with plasmids","volume":"166","author":[{"family":"Hanahan","given":"D."}],"issued":{"date-parts":[["1983",6,5]]}}}],"schema":"https://github.com/citation-style-language/schema/raw/master/csl-citation.json"} </w:instrText>
            </w:r>
            <w:r w:rsidRPr="00DA2EF3">
              <w:rPr>
                <w:rFonts w:cstheme="minorHAnsi"/>
                <w:sz w:val="18"/>
                <w:szCs w:val="18"/>
              </w:rPr>
              <w:fldChar w:fldCharType="separate"/>
            </w:r>
            <w:r w:rsidRPr="00DA2EF3">
              <w:rPr>
                <w:rFonts w:ascii="Calibri" w:hAnsi="Calibri" w:cs="Calibri"/>
                <w:sz w:val="18"/>
                <w:szCs w:val="18"/>
              </w:rPr>
              <w:t>(</w:t>
            </w:r>
            <w:proofErr w:type="spellStart"/>
            <w:r w:rsidRPr="00DA2EF3">
              <w:rPr>
                <w:rFonts w:ascii="Calibri" w:hAnsi="Calibri" w:cs="Calibri"/>
                <w:sz w:val="18"/>
                <w:szCs w:val="18"/>
              </w:rPr>
              <w:t>Hanahan</w:t>
            </w:r>
            <w:proofErr w:type="spellEnd"/>
            <w:r w:rsidRPr="00DA2EF3">
              <w:rPr>
                <w:rFonts w:ascii="Calibri" w:hAnsi="Calibri" w:cs="Calibri"/>
                <w:sz w:val="18"/>
                <w:szCs w:val="18"/>
              </w:rPr>
              <w:t>, 1983)</w:t>
            </w:r>
            <w:r w:rsidRPr="00DA2EF3">
              <w:rPr>
                <w:rFonts w:cstheme="minorHAnsi"/>
                <w:sz w:val="18"/>
                <w:szCs w:val="18"/>
              </w:rPr>
              <w:fldChar w:fldCharType="end"/>
            </w:r>
          </w:p>
        </w:tc>
      </w:tr>
      <w:tr w:rsidR="00A907E6" w:rsidRPr="00421ECF" w:rsidTr="00421ECF">
        <w:trPr>
          <w:jc w:val="center"/>
        </w:trPr>
        <w:tc>
          <w:tcPr>
            <w:tcW w:w="2480" w:type="dxa"/>
          </w:tcPr>
          <w:p w:rsidR="00A907E6" w:rsidRPr="00DA2EF3" w:rsidRDefault="00A907E6" w:rsidP="00421ECF">
            <w:pPr>
              <w:jc w:val="both"/>
              <w:rPr>
                <w:rFonts w:cstheme="minorHAnsi"/>
                <w:sz w:val="18"/>
                <w:szCs w:val="18"/>
              </w:rPr>
            </w:pPr>
            <w:r w:rsidRPr="00DA2EF3">
              <w:rPr>
                <w:rFonts w:cstheme="minorHAnsi"/>
                <w:i/>
                <w:iCs/>
                <w:sz w:val="18"/>
                <w:szCs w:val="18"/>
              </w:rPr>
              <w:t>E. coli BL21 (DE3)</w:t>
            </w:r>
          </w:p>
        </w:tc>
        <w:tc>
          <w:tcPr>
            <w:tcW w:w="3013" w:type="dxa"/>
          </w:tcPr>
          <w:p w:rsidR="00A907E6" w:rsidRPr="00DA2EF3" w:rsidRDefault="00A907E6" w:rsidP="00421ECF">
            <w:pPr>
              <w:tabs>
                <w:tab w:val="left" w:pos="1610"/>
              </w:tabs>
              <w:jc w:val="both"/>
              <w:rPr>
                <w:rFonts w:cstheme="minorHAnsi"/>
                <w:iCs/>
                <w:sz w:val="18"/>
                <w:szCs w:val="18"/>
                <w:lang w:val="en-GB"/>
              </w:rPr>
            </w:pPr>
            <w:r w:rsidRPr="00DA2EF3">
              <w:rPr>
                <w:rFonts w:cstheme="minorHAnsi"/>
                <w:iCs/>
                <w:sz w:val="18"/>
                <w:szCs w:val="18"/>
                <w:lang w:val="en-GB"/>
              </w:rPr>
              <w:t>Strain for protein expression</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lang w:val="en-US"/>
              </w:rPr>
              <w:t>Thermo Fisher Scientific, Waltham, USA</w:t>
            </w:r>
          </w:p>
        </w:tc>
      </w:tr>
      <w:tr w:rsidR="00A907E6" w:rsidRPr="0070482A"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i/>
                <w:iCs/>
                <w:sz w:val="18"/>
                <w:szCs w:val="18"/>
                <w:lang w:val="en-GB"/>
              </w:rPr>
              <w:t xml:space="preserve">E. coli BL21 (DE3) </w:t>
            </w:r>
            <w:r w:rsidRPr="00DA2EF3">
              <w:rPr>
                <w:rFonts w:cstheme="minorHAnsi"/>
                <w:iCs/>
                <w:sz w:val="18"/>
                <w:szCs w:val="18"/>
                <w:lang w:val="en-GB"/>
              </w:rPr>
              <w:t xml:space="preserve">+ </w:t>
            </w:r>
            <w:proofErr w:type="spellStart"/>
            <w:r w:rsidRPr="00DA2EF3">
              <w:rPr>
                <w:rFonts w:cstheme="minorHAnsi"/>
                <w:iCs/>
                <w:sz w:val="18"/>
                <w:szCs w:val="18"/>
                <w:lang w:val="en-GB"/>
              </w:rPr>
              <w:t>pRIL</w:t>
            </w:r>
            <w:proofErr w:type="spellEnd"/>
          </w:p>
        </w:tc>
        <w:tc>
          <w:tcPr>
            <w:tcW w:w="3013" w:type="dxa"/>
          </w:tcPr>
          <w:p w:rsidR="00A907E6" w:rsidRPr="00DA2EF3" w:rsidRDefault="00A907E6" w:rsidP="00421ECF">
            <w:pPr>
              <w:tabs>
                <w:tab w:val="left" w:pos="1610"/>
              </w:tabs>
              <w:jc w:val="both"/>
              <w:rPr>
                <w:rFonts w:cstheme="minorHAnsi"/>
                <w:i/>
                <w:iCs/>
                <w:sz w:val="18"/>
                <w:szCs w:val="18"/>
                <w:lang w:val="en-GB"/>
              </w:rPr>
            </w:pPr>
            <w:r w:rsidRPr="00DA2EF3">
              <w:rPr>
                <w:rFonts w:cstheme="minorHAnsi"/>
                <w:iCs/>
                <w:sz w:val="18"/>
                <w:szCs w:val="18"/>
                <w:lang w:val="en-GB"/>
              </w:rPr>
              <w:t xml:space="preserve">Strain for protein expression of genes with unusual codons/ </w:t>
            </w:r>
            <w:proofErr w:type="spellStart"/>
            <w:r w:rsidRPr="00DA2EF3">
              <w:rPr>
                <w:rFonts w:cstheme="minorHAnsi"/>
                <w:iCs/>
                <w:sz w:val="18"/>
                <w:szCs w:val="18"/>
                <w:lang w:val="en-GB"/>
              </w:rPr>
              <w:t>Cm</w:t>
            </w:r>
            <w:r w:rsidRPr="00DA2EF3">
              <w:rPr>
                <w:rFonts w:cstheme="minorHAnsi"/>
                <w:iCs/>
                <w:sz w:val="18"/>
                <w:szCs w:val="18"/>
                <w:vertAlign w:val="superscript"/>
                <w:lang w:val="en-GB"/>
              </w:rPr>
              <w:t>R</w:t>
            </w:r>
            <w:proofErr w:type="spellEnd"/>
          </w:p>
        </w:tc>
        <w:tc>
          <w:tcPr>
            <w:tcW w:w="3579" w:type="dxa"/>
          </w:tcPr>
          <w:p w:rsidR="00A907E6" w:rsidRPr="00DA2EF3" w:rsidRDefault="00A907E6" w:rsidP="00421ECF">
            <w:pPr>
              <w:jc w:val="both"/>
              <w:rPr>
                <w:rFonts w:cstheme="minorHAnsi"/>
                <w:sz w:val="18"/>
                <w:szCs w:val="18"/>
                <w:lang w:val="en-GB"/>
              </w:rPr>
            </w:pPr>
            <w:proofErr w:type="spellStart"/>
            <w:r w:rsidRPr="00DA2EF3">
              <w:rPr>
                <w:rFonts w:cstheme="minorHAnsi"/>
                <w:sz w:val="18"/>
                <w:szCs w:val="18"/>
                <w:lang w:val="en-US"/>
              </w:rPr>
              <w:t>Stratagene</w:t>
            </w:r>
            <w:proofErr w:type="spellEnd"/>
            <w:r w:rsidRPr="00DA2EF3">
              <w:rPr>
                <w:rFonts w:cstheme="minorHAnsi"/>
                <w:sz w:val="18"/>
                <w:szCs w:val="18"/>
                <w:lang w:val="en-US"/>
              </w:rPr>
              <w:t>, La Jolla, USA</w:t>
            </w:r>
          </w:p>
        </w:tc>
      </w:tr>
      <w:tr w:rsidR="00A907E6" w:rsidRPr="0070482A" w:rsidTr="00421ECF">
        <w:trPr>
          <w:jc w:val="center"/>
        </w:trPr>
        <w:tc>
          <w:tcPr>
            <w:tcW w:w="2480" w:type="dxa"/>
          </w:tcPr>
          <w:p w:rsidR="00A907E6" w:rsidRPr="00DA2EF3" w:rsidRDefault="00A907E6" w:rsidP="00421ECF">
            <w:pPr>
              <w:jc w:val="both"/>
              <w:rPr>
                <w:rFonts w:cstheme="minorHAnsi"/>
                <w:sz w:val="18"/>
                <w:szCs w:val="18"/>
                <w:lang w:val="en-GB"/>
              </w:rPr>
            </w:pPr>
          </w:p>
        </w:tc>
        <w:tc>
          <w:tcPr>
            <w:tcW w:w="3013" w:type="dxa"/>
          </w:tcPr>
          <w:p w:rsidR="00A907E6" w:rsidRPr="00DA2EF3" w:rsidRDefault="00A907E6" w:rsidP="00421ECF">
            <w:pPr>
              <w:jc w:val="both"/>
              <w:rPr>
                <w:rFonts w:cstheme="minorHAnsi"/>
                <w:i/>
                <w:iCs/>
                <w:sz w:val="18"/>
                <w:szCs w:val="18"/>
                <w:lang w:val="en-GB"/>
              </w:rPr>
            </w:pPr>
          </w:p>
        </w:tc>
        <w:tc>
          <w:tcPr>
            <w:tcW w:w="3579" w:type="dxa"/>
          </w:tcPr>
          <w:p w:rsidR="00A907E6" w:rsidRPr="00DA2EF3" w:rsidRDefault="00A907E6" w:rsidP="00421ECF">
            <w:pPr>
              <w:jc w:val="both"/>
              <w:rPr>
                <w:rFonts w:cstheme="minorHAnsi"/>
                <w:sz w:val="18"/>
                <w:szCs w:val="18"/>
                <w:lang w:val="en-GB"/>
              </w:rPr>
            </w:pPr>
          </w:p>
        </w:tc>
      </w:tr>
      <w:tr w:rsidR="00A907E6" w:rsidRPr="0070482A" w:rsidTr="00421ECF">
        <w:trPr>
          <w:jc w:val="center"/>
        </w:trPr>
        <w:tc>
          <w:tcPr>
            <w:tcW w:w="9072" w:type="dxa"/>
            <w:gridSpan w:val="3"/>
          </w:tcPr>
          <w:p w:rsidR="00A907E6" w:rsidRPr="00DA2EF3" w:rsidRDefault="00A907E6" w:rsidP="00421ECF">
            <w:pPr>
              <w:jc w:val="both"/>
              <w:rPr>
                <w:rFonts w:cstheme="minorHAnsi"/>
                <w:b/>
                <w:bCs/>
                <w:sz w:val="18"/>
                <w:szCs w:val="18"/>
                <w:lang w:val="en-GB"/>
              </w:rPr>
            </w:pPr>
            <w:r w:rsidRPr="00DA2EF3">
              <w:rPr>
                <w:rFonts w:cstheme="minorHAnsi"/>
                <w:b/>
                <w:bCs/>
                <w:sz w:val="18"/>
                <w:szCs w:val="18"/>
                <w:lang w:val="en-GB"/>
              </w:rPr>
              <w:t>Plasmids</w:t>
            </w:r>
          </w:p>
        </w:tc>
      </w:tr>
      <w:tr w:rsidR="00A907E6" w:rsidRPr="0070482A"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pET21a</w:t>
            </w:r>
          </w:p>
        </w:tc>
        <w:tc>
          <w:tcPr>
            <w:tcW w:w="3013" w:type="dxa"/>
          </w:tcPr>
          <w:p w:rsidR="00A907E6" w:rsidRPr="00DA2EF3" w:rsidRDefault="00A907E6" w:rsidP="00421ECF">
            <w:pPr>
              <w:rPr>
                <w:rFonts w:cstheme="minorHAnsi"/>
                <w:sz w:val="18"/>
                <w:szCs w:val="18"/>
                <w:lang w:val="en-GB"/>
              </w:rPr>
            </w:pPr>
            <w:r w:rsidRPr="00DA2EF3">
              <w:rPr>
                <w:rFonts w:cstheme="minorHAnsi"/>
                <w:sz w:val="18"/>
                <w:szCs w:val="18"/>
                <w:lang w:val="en-GB"/>
              </w:rPr>
              <w:t>General cloning vector providing a C-terminal His</w:t>
            </w:r>
            <w:r w:rsidRPr="00DA2EF3">
              <w:rPr>
                <w:rFonts w:cstheme="minorHAnsi"/>
                <w:sz w:val="18"/>
                <w:szCs w:val="18"/>
                <w:vertAlign w:val="subscript"/>
                <w:lang w:val="en-GB"/>
              </w:rPr>
              <w:t>6</w:t>
            </w:r>
            <w:r w:rsidRPr="00DA2EF3">
              <w:rPr>
                <w:rFonts w:cstheme="minorHAnsi"/>
                <w:sz w:val="18"/>
                <w:szCs w:val="18"/>
                <w:lang w:val="en-GB"/>
              </w:rPr>
              <w:t>-tag</w:t>
            </w:r>
          </w:p>
        </w:tc>
        <w:tc>
          <w:tcPr>
            <w:tcW w:w="3579" w:type="dxa"/>
          </w:tcPr>
          <w:p w:rsidR="00A907E6" w:rsidRPr="00DA2EF3" w:rsidRDefault="00A907E6" w:rsidP="00421ECF">
            <w:pPr>
              <w:jc w:val="both"/>
              <w:rPr>
                <w:rFonts w:cstheme="minorHAnsi"/>
                <w:sz w:val="18"/>
                <w:szCs w:val="18"/>
              </w:rPr>
            </w:pPr>
            <w:proofErr w:type="spellStart"/>
            <w:r w:rsidRPr="00DA2EF3">
              <w:rPr>
                <w:rFonts w:cstheme="minorHAnsi"/>
                <w:sz w:val="18"/>
                <w:szCs w:val="18"/>
              </w:rPr>
              <w:t>Novagen</w:t>
            </w:r>
            <w:proofErr w:type="spellEnd"/>
            <w:r w:rsidRPr="00DA2EF3">
              <w:rPr>
                <w:rFonts w:cstheme="minorHAnsi"/>
                <w:sz w:val="18"/>
                <w:szCs w:val="18"/>
              </w:rPr>
              <w:t>/Merck, Darmstadt, Germany</w:t>
            </w:r>
          </w:p>
        </w:tc>
      </w:tr>
      <w:tr w:rsidR="00A907E6" w:rsidRPr="00421ECF" w:rsidTr="00421ECF">
        <w:trPr>
          <w:jc w:val="center"/>
        </w:trPr>
        <w:tc>
          <w:tcPr>
            <w:tcW w:w="2480" w:type="dxa"/>
          </w:tcPr>
          <w:p w:rsidR="00A907E6" w:rsidRPr="00DA2EF3" w:rsidRDefault="00A907E6" w:rsidP="00421ECF">
            <w:pPr>
              <w:jc w:val="both"/>
              <w:rPr>
                <w:rFonts w:cstheme="minorHAnsi"/>
                <w:sz w:val="18"/>
                <w:szCs w:val="18"/>
                <w:lang w:val="en-GB"/>
              </w:rPr>
            </w:pPr>
            <w:proofErr w:type="spellStart"/>
            <w:r w:rsidRPr="00DA2EF3">
              <w:rPr>
                <w:rFonts w:cstheme="minorHAnsi"/>
                <w:sz w:val="18"/>
                <w:szCs w:val="18"/>
                <w:lang w:val="en-GB"/>
              </w:rPr>
              <w:t>pETSUMO</w:t>
            </w:r>
            <w:proofErr w:type="spellEnd"/>
          </w:p>
        </w:tc>
        <w:tc>
          <w:tcPr>
            <w:tcW w:w="3013"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Expression vector providing an N-terminal His</w:t>
            </w:r>
            <w:r w:rsidRPr="00DA2EF3">
              <w:rPr>
                <w:rFonts w:cstheme="minorHAnsi"/>
                <w:sz w:val="18"/>
                <w:szCs w:val="18"/>
                <w:vertAlign w:val="subscript"/>
                <w:lang w:val="en-GB"/>
              </w:rPr>
              <w:t>6</w:t>
            </w:r>
            <w:r w:rsidRPr="00DA2EF3">
              <w:rPr>
                <w:rFonts w:cstheme="minorHAnsi"/>
                <w:sz w:val="18"/>
                <w:szCs w:val="18"/>
                <w:lang w:val="en-GB"/>
              </w:rPr>
              <w:t>-SUMO-tag</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lang w:val="en-US"/>
              </w:rPr>
              <w:t>Thermo Fisher Scientific, Waltham, USA</w:t>
            </w:r>
          </w:p>
        </w:tc>
      </w:tr>
      <w:tr w:rsidR="00A907E6" w:rsidRPr="00A907E6"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pRS375</w:t>
            </w:r>
          </w:p>
        </w:tc>
        <w:tc>
          <w:tcPr>
            <w:tcW w:w="3013"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pET28a/Strep + GlnA</w:t>
            </w:r>
            <w:r w:rsidRPr="00DA2EF3">
              <w:rPr>
                <w:rFonts w:cstheme="minorHAnsi"/>
                <w:sz w:val="18"/>
                <w:szCs w:val="18"/>
                <w:vertAlign w:val="subscript"/>
                <w:lang w:val="en-GB"/>
              </w:rPr>
              <w:t>1</w:t>
            </w:r>
          </w:p>
        </w:tc>
        <w:tc>
          <w:tcPr>
            <w:tcW w:w="3579" w:type="dxa"/>
          </w:tcPr>
          <w:p w:rsidR="00A907E6" w:rsidRPr="00A907E6" w:rsidRDefault="00A907E6" w:rsidP="00421ECF">
            <w:pPr>
              <w:jc w:val="both"/>
              <w:rPr>
                <w:rFonts w:cstheme="minorHAnsi"/>
                <w:sz w:val="18"/>
                <w:szCs w:val="18"/>
                <w:lang w:val="en-GB"/>
              </w:rPr>
            </w:pPr>
            <w:r w:rsidRPr="00DA2EF3">
              <w:rPr>
                <w:rFonts w:cstheme="minorHAnsi"/>
                <w:sz w:val="18"/>
                <w:szCs w:val="18"/>
                <w:lang w:val="en-GB"/>
              </w:rPr>
              <w:fldChar w:fldCharType="begin"/>
            </w:r>
            <w:r w:rsidRPr="00DA2EF3">
              <w:rPr>
                <w:rFonts w:cstheme="minorHAnsi"/>
                <w:sz w:val="18"/>
                <w:szCs w:val="18"/>
                <w:lang w:val="en-GB"/>
              </w:rPr>
              <w:instrText xml:space="preserve"> ADDIN ZOTERO_ITEM CSL_CITATION {"citationID":"myoE7q70","properties":{"formattedCitation":"(Gutt et al., 2021)","plainCitation":"(Gutt et al., 2021)","noteIndex":0},"citationItems":[{"id":155,"uris":["http://zotero.org/users/9074001/items/XAYMMA8I"],"itemData":{"id":155,"type":"article-journal","abstract":"Small ORF (sORF)-encoded small proteins have been overlooked for a long time due to challenges in prediction and distinguishing between coding- and noncoding-predicted sORFs and in their biochemical detection and characterization. We report on the first biochemical and functional characterization of a small protein (sP26) in the archaeal model organism Methanosarcina mazei, comprising 23 amino acids. The corresponding encoding leaderless mRNA (spRNA26) is highly conserved on nucleotide level as well as on the coded amino acids within numerous Methanosarcina strains strongly arguing for a cellular function of the small protein. spRNA26 level is significantly enhanced under nitrogen limitation, but also under oxygen and salt stress conditions. Using heterologously expressed and purified sP26 in independent biochemical approaches [pull-down by affinity chromatography followed by MS analysis, reverse pull-down, microscale thermophoresis, size-exclusion chromatography, and nuclear magnetic resonance spectroscopy (NMR) analysis], we observed that sP26 interacts and forms complexes with M. mazei glutamine synthetase (GlnA1) with high affinity (app. KD = 0.76 µm ± 0.29 µm). Moreover, seven amino acids were identified by NMR analysis to directly interact with GlnA1. Upon interaction with sP26, GlnA1 activity is significantly stimulated, independently and in addition to the known activation by the metabolite 2-oxoglutarate (2-OG). Besides, strong interaction of sP26 with the PII-like protein GlnK1 was demonstrated (app. KD = 2.9 µm ± 0.9 µm). On the basis of these findings, we pr</w:instrText>
            </w:r>
            <w:r w:rsidRPr="00A907E6">
              <w:rPr>
                <w:rFonts w:cstheme="minorHAnsi"/>
                <w:sz w:val="18"/>
                <w:szCs w:val="18"/>
                <w:lang w:val="en-GB"/>
              </w:rPr>
              <w:instrText xml:space="preserve">opose that in addition to 2-OG, sP26 enhances GlnA1 activity under nitrogen limitation most likely by stabilizing the dodecameric structure of GlnA1.","container-title":"The FEBS Journal","DOI":"10.1111/febs.15799","ISSN":"1742-4658","issue":"n/a","language":"en","license":"© 2021 The Authors. The FEBS Journal published by John Wiley &amp; Sons Ltd on behalf of Federation of European Biochemical Societies.","note":"_eprint: https://febs.onlinelibrary.wiley.com/doi/pdf/10.1111/febs.15799","source":"Wiley Online Library","title":"High complexity of Glutamine synthetase regulation in Methanosarcina mazei: Small protein 26 interacts and enhances glutamine synthetase activity","title-short":"High complexity of Glutamine synthetase regulation in Methanosarcina mazei","URL":"https://febs.onlinelibrary.wiley.com/doi/abs/10.1111/febs.15799","volume":"n/a","author":[{"family":"Gutt","given":"Miriam"},{"family":"Jordan","given":"Britta"},{"family":"Weidenbach","given":"Katrin"},{"family":"Gudzuhn","given":"Mirja"},{"family":"Kiessling","given":"Claudia"},{"family":"Cassidy","given":"Liam"},{"family":"Helbig","given":"Andreas"},{"family":"Tholey","given":"Andreas"},{"family":"Pyper","given":"Dennis Joshua"},{"family":"Kubatova","given":"Nina"},{"family":"Schwalbe","given":"Harald"},{"family":"Schmitz","given":"Ruth Anne"}],"accessed":{"date-parts":[["2021",8,5]]},"issued":{"date-parts":[["2021"]]}}}],"schema":"https://github.com/citation-style-language/schema/raw/master/csl-citation.json"} </w:instrText>
            </w:r>
            <w:r w:rsidRPr="00DA2EF3">
              <w:rPr>
                <w:rFonts w:cstheme="minorHAnsi"/>
                <w:sz w:val="18"/>
                <w:szCs w:val="18"/>
                <w:lang w:val="en-GB"/>
              </w:rPr>
              <w:fldChar w:fldCharType="separate"/>
            </w:r>
            <w:r w:rsidRPr="00A907E6">
              <w:rPr>
                <w:rFonts w:ascii="Calibri" w:hAnsi="Calibri" w:cs="Calibri"/>
                <w:sz w:val="18"/>
                <w:szCs w:val="18"/>
                <w:lang w:val="en-GB"/>
              </w:rPr>
              <w:t>(</w:t>
            </w:r>
            <w:proofErr w:type="spellStart"/>
            <w:r w:rsidRPr="00A907E6">
              <w:rPr>
                <w:rFonts w:ascii="Calibri" w:hAnsi="Calibri" w:cs="Calibri"/>
                <w:sz w:val="18"/>
                <w:szCs w:val="18"/>
                <w:lang w:val="en-GB"/>
              </w:rPr>
              <w:t>Gutt</w:t>
            </w:r>
            <w:proofErr w:type="spellEnd"/>
            <w:r w:rsidRPr="00A907E6">
              <w:rPr>
                <w:rFonts w:ascii="Calibri" w:hAnsi="Calibri" w:cs="Calibri"/>
                <w:sz w:val="18"/>
                <w:szCs w:val="18"/>
                <w:lang w:val="en-GB"/>
              </w:rPr>
              <w:t xml:space="preserve"> et al., 2021)</w:t>
            </w:r>
            <w:r w:rsidRPr="00DA2EF3">
              <w:rPr>
                <w:rFonts w:cstheme="minorHAnsi"/>
                <w:sz w:val="18"/>
                <w:szCs w:val="18"/>
                <w:lang w:val="en-GB"/>
              </w:rPr>
              <w:fldChar w:fldCharType="end"/>
            </w:r>
          </w:p>
        </w:tc>
      </w:tr>
      <w:tr w:rsidR="00A907E6" w:rsidRPr="00A907E6" w:rsidTr="00421ECF">
        <w:trPr>
          <w:jc w:val="center"/>
        </w:trPr>
        <w:tc>
          <w:tcPr>
            <w:tcW w:w="2480" w:type="dxa"/>
          </w:tcPr>
          <w:p w:rsidR="00A907E6" w:rsidRPr="00A907E6" w:rsidRDefault="00A907E6" w:rsidP="00421ECF">
            <w:pPr>
              <w:jc w:val="both"/>
              <w:rPr>
                <w:rFonts w:cstheme="minorHAnsi"/>
                <w:sz w:val="18"/>
                <w:szCs w:val="18"/>
                <w:lang w:val="en-GB"/>
              </w:rPr>
            </w:pPr>
            <w:r w:rsidRPr="00A907E6">
              <w:rPr>
                <w:rFonts w:cstheme="minorHAnsi"/>
                <w:sz w:val="18"/>
                <w:szCs w:val="18"/>
                <w:lang w:val="en-GB"/>
              </w:rPr>
              <w:t>pRS1672</w:t>
            </w:r>
          </w:p>
        </w:tc>
        <w:tc>
          <w:tcPr>
            <w:tcW w:w="3013" w:type="dxa"/>
          </w:tcPr>
          <w:p w:rsidR="00A907E6" w:rsidRPr="00A907E6" w:rsidRDefault="00A907E6" w:rsidP="00421ECF">
            <w:pPr>
              <w:jc w:val="both"/>
              <w:rPr>
                <w:rFonts w:cstheme="minorHAnsi"/>
                <w:sz w:val="18"/>
                <w:szCs w:val="18"/>
                <w:lang w:val="en-GB"/>
              </w:rPr>
            </w:pPr>
            <w:proofErr w:type="spellStart"/>
            <w:r w:rsidRPr="00A907E6">
              <w:rPr>
                <w:rFonts w:cstheme="minorHAnsi"/>
                <w:sz w:val="18"/>
                <w:szCs w:val="18"/>
                <w:lang w:val="en-GB"/>
              </w:rPr>
              <w:t>pETSUMO</w:t>
            </w:r>
            <w:proofErr w:type="spellEnd"/>
            <w:r w:rsidRPr="00A907E6">
              <w:rPr>
                <w:rFonts w:cstheme="minorHAnsi"/>
                <w:sz w:val="18"/>
                <w:szCs w:val="18"/>
                <w:lang w:val="en-GB"/>
              </w:rPr>
              <w:t xml:space="preserve"> + GlnK</w:t>
            </w:r>
            <w:r w:rsidRPr="00A907E6">
              <w:rPr>
                <w:rFonts w:cstheme="minorHAnsi"/>
                <w:sz w:val="18"/>
                <w:szCs w:val="18"/>
                <w:vertAlign w:val="subscript"/>
                <w:lang w:val="en-GB"/>
              </w:rPr>
              <w:t>1</w:t>
            </w:r>
          </w:p>
        </w:tc>
        <w:tc>
          <w:tcPr>
            <w:tcW w:w="3579" w:type="dxa"/>
          </w:tcPr>
          <w:p w:rsidR="00A907E6" w:rsidRPr="00A907E6" w:rsidRDefault="00A907E6" w:rsidP="00421ECF">
            <w:pPr>
              <w:jc w:val="both"/>
              <w:rPr>
                <w:rFonts w:cstheme="minorHAnsi"/>
                <w:sz w:val="18"/>
                <w:szCs w:val="18"/>
                <w:lang w:val="en-GB"/>
              </w:rPr>
            </w:pPr>
            <w:r w:rsidRPr="00A907E6">
              <w:rPr>
                <w:rFonts w:cstheme="minorHAnsi"/>
                <w:sz w:val="18"/>
                <w:szCs w:val="18"/>
                <w:lang w:val="en-GB"/>
              </w:rPr>
              <w:t>This work</w:t>
            </w:r>
          </w:p>
        </w:tc>
      </w:tr>
      <w:tr w:rsidR="00A907E6" w:rsidRPr="00A907E6" w:rsidTr="00421ECF">
        <w:trPr>
          <w:jc w:val="center"/>
        </w:trPr>
        <w:tc>
          <w:tcPr>
            <w:tcW w:w="2480" w:type="dxa"/>
          </w:tcPr>
          <w:p w:rsidR="00A907E6" w:rsidRPr="00A907E6" w:rsidRDefault="00A907E6" w:rsidP="00421ECF">
            <w:pPr>
              <w:jc w:val="both"/>
              <w:rPr>
                <w:rFonts w:cstheme="minorHAnsi"/>
                <w:sz w:val="18"/>
                <w:szCs w:val="18"/>
                <w:lang w:val="en-GB"/>
              </w:rPr>
            </w:pPr>
            <w:r w:rsidRPr="00A907E6">
              <w:rPr>
                <w:rFonts w:cstheme="minorHAnsi"/>
                <w:sz w:val="18"/>
                <w:szCs w:val="18"/>
                <w:lang w:val="en-GB"/>
              </w:rPr>
              <w:t>pRS1728</w:t>
            </w:r>
          </w:p>
        </w:tc>
        <w:tc>
          <w:tcPr>
            <w:tcW w:w="3013" w:type="dxa"/>
          </w:tcPr>
          <w:p w:rsidR="00A907E6" w:rsidRPr="00DA2EF3" w:rsidRDefault="00A907E6" w:rsidP="00421ECF">
            <w:pPr>
              <w:jc w:val="both"/>
              <w:rPr>
                <w:rFonts w:cstheme="minorHAnsi"/>
                <w:sz w:val="18"/>
                <w:szCs w:val="18"/>
                <w:lang w:val="en-GB"/>
              </w:rPr>
            </w:pPr>
            <w:r w:rsidRPr="00421ECF">
              <w:rPr>
                <w:rFonts w:cstheme="minorHAnsi"/>
                <w:sz w:val="18"/>
                <w:szCs w:val="18"/>
                <w:lang w:val="en-GB"/>
              </w:rPr>
              <w:t>pEX-A258 + codon-optim</w:t>
            </w:r>
            <w:r w:rsidRPr="00DA2EF3">
              <w:rPr>
                <w:rFonts w:cstheme="minorHAnsi"/>
                <w:sz w:val="18"/>
                <w:szCs w:val="18"/>
                <w:lang w:val="en-GB"/>
              </w:rPr>
              <w:t>ized GlnA</w:t>
            </w:r>
            <w:r w:rsidRPr="00DA2EF3">
              <w:rPr>
                <w:rFonts w:cstheme="minorHAnsi"/>
                <w:sz w:val="18"/>
                <w:szCs w:val="18"/>
                <w:vertAlign w:val="subscript"/>
                <w:lang w:val="en-GB"/>
              </w:rPr>
              <w:t>1</w:t>
            </w:r>
            <w:r w:rsidRPr="00DA2EF3">
              <w:rPr>
                <w:rFonts w:cstheme="minorHAnsi"/>
                <w:sz w:val="18"/>
                <w:szCs w:val="18"/>
                <w:lang w:val="en-GB"/>
              </w:rPr>
              <w:t xml:space="preserve"> and sP26</w:t>
            </w:r>
          </w:p>
        </w:tc>
        <w:tc>
          <w:tcPr>
            <w:tcW w:w="3579" w:type="dxa"/>
          </w:tcPr>
          <w:p w:rsidR="00A907E6" w:rsidRPr="00DA2EF3" w:rsidRDefault="00A907E6" w:rsidP="00421ECF">
            <w:pPr>
              <w:jc w:val="both"/>
              <w:rPr>
                <w:rFonts w:cstheme="minorHAnsi"/>
                <w:sz w:val="18"/>
                <w:szCs w:val="18"/>
                <w:lang w:val="en-US"/>
              </w:rPr>
            </w:pPr>
            <w:r w:rsidRPr="00DA2EF3">
              <w:rPr>
                <w:rFonts w:cstheme="minorHAnsi"/>
                <w:sz w:val="18"/>
                <w:szCs w:val="18"/>
                <w:lang w:val="en-GB"/>
              </w:rPr>
              <w:t xml:space="preserve">Eurofins Scientific, </w:t>
            </w:r>
            <w:proofErr w:type="spellStart"/>
            <w:r w:rsidRPr="00DA2EF3">
              <w:rPr>
                <w:rFonts w:cstheme="minorHAnsi"/>
                <w:sz w:val="18"/>
                <w:szCs w:val="18"/>
                <w:lang w:val="en-GB"/>
              </w:rPr>
              <w:t>Ebersberg</w:t>
            </w:r>
            <w:proofErr w:type="spellEnd"/>
            <w:r w:rsidRPr="00DA2EF3">
              <w:rPr>
                <w:rFonts w:cstheme="minorHAnsi"/>
                <w:sz w:val="18"/>
                <w:szCs w:val="18"/>
                <w:lang w:val="en-GB"/>
              </w:rPr>
              <w:t>, G</w:t>
            </w:r>
            <w:proofErr w:type="spellStart"/>
            <w:r w:rsidRPr="00DA2EF3">
              <w:rPr>
                <w:rFonts w:cstheme="minorHAnsi"/>
                <w:sz w:val="18"/>
                <w:szCs w:val="18"/>
                <w:lang w:val="en-US"/>
              </w:rPr>
              <w:t>ermany</w:t>
            </w:r>
            <w:proofErr w:type="spellEnd"/>
          </w:p>
        </w:tc>
      </w:tr>
      <w:tr w:rsidR="00A907E6" w:rsidRPr="00A907E6"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pRS1841</w:t>
            </w:r>
          </w:p>
        </w:tc>
        <w:tc>
          <w:tcPr>
            <w:tcW w:w="3013"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pRS375 + codon-optimized GlnA</w:t>
            </w:r>
            <w:r w:rsidRPr="00DA2EF3">
              <w:rPr>
                <w:rFonts w:cstheme="minorHAnsi"/>
                <w:sz w:val="18"/>
                <w:szCs w:val="18"/>
                <w:vertAlign w:val="subscript"/>
                <w:lang w:val="en-GB"/>
              </w:rPr>
              <w:t>1</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This work</w:t>
            </w:r>
          </w:p>
        </w:tc>
      </w:tr>
      <w:tr w:rsidR="00A907E6" w:rsidRPr="00A907E6" w:rsidTr="00421ECF">
        <w:trPr>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pRS1863</w:t>
            </w:r>
          </w:p>
        </w:tc>
        <w:tc>
          <w:tcPr>
            <w:tcW w:w="3013"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pET21a + codon-optimized sP26</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This work</w:t>
            </w:r>
          </w:p>
        </w:tc>
      </w:tr>
      <w:tr w:rsidR="00A907E6" w:rsidRPr="00A907E6" w:rsidTr="00421ECF">
        <w:trPr>
          <w:trHeight w:val="133"/>
          <w:jc w:val="center"/>
        </w:trPr>
        <w:tc>
          <w:tcPr>
            <w:tcW w:w="2480"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pRS1951</w:t>
            </w:r>
          </w:p>
        </w:tc>
        <w:tc>
          <w:tcPr>
            <w:tcW w:w="3013" w:type="dxa"/>
          </w:tcPr>
          <w:p w:rsidR="00A907E6" w:rsidRPr="00DA2EF3" w:rsidRDefault="00A907E6" w:rsidP="00421ECF">
            <w:pPr>
              <w:jc w:val="both"/>
              <w:rPr>
                <w:rFonts w:cstheme="minorHAnsi"/>
                <w:iCs/>
                <w:sz w:val="18"/>
                <w:szCs w:val="18"/>
                <w:lang w:val="en-GB"/>
              </w:rPr>
            </w:pPr>
            <w:r w:rsidRPr="00DA2EF3">
              <w:rPr>
                <w:rFonts w:cstheme="minorHAnsi"/>
                <w:iCs/>
                <w:sz w:val="18"/>
                <w:szCs w:val="18"/>
                <w:lang w:val="en-GB"/>
              </w:rPr>
              <w:t>pRS1840mut:  R66AGlnA</w:t>
            </w:r>
            <w:r w:rsidRPr="00DA2EF3">
              <w:rPr>
                <w:rFonts w:cstheme="minorHAnsi"/>
                <w:iCs/>
                <w:sz w:val="18"/>
                <w:szCs w:val="18"/>
                <w:vertAlign w:val="subscript"/>
                <w:lang w:val="en-GB"/>
              </w:rPr>
              <w:t>1</w:t>
            </w:r>
            <w:r w:rsidRPr="00DA2EF3">
              <w:rPr>
                <w:rFonts w:cstheme="minorHAnsi"/>
                <w:iCs/>
                <w:sz w:val="18"/>
                <w:szCs w:val="18"/>
                <w:lang w:val="en-GB"/>
              </w:rPr>
              <w:t xml:space="preserve"> </w:t>
            </w:r>
          </w:p>
        </w:tc>
        <w:tc>
          <w:tcPr>
            <w:tcW w:w="3579" w:type="dxa"/>
          </w:tcPr>
          <w:p w:rsidR="00A907E6" w:rsidRPr="00DA2EF3" w:rsidRDefault="00A907E6" w:rsidP="00421ECF">
            <w:pPr>
              <w:jc w:val="both"/>
              <w:rPr>
                <w:rFonts w:cstheme="minorHAnsi"/>
                <w:sz w:val="18"/>
                <w:szCs w:val="18"/>
                <w:lang w:val="en-GB"/>
              </w:rPr>
            </w:pPr>
            <w:r w:rsidRPr="00DA2EF3">
              <w:rPr>
                <w:rFonts w:cstheme="minorHAnsi"/>
                <w:sz w:val="18"/>
                <w:szCs w:val="18"/>
                <w:lang w:val="en-GB"/>
              </w:rPr>
              <w:t>This work</w:t>
            </w:r>
          </w:p>
        </w:tc>
      </w:tr>
    </w:tbl>
    <w:p w:rsidR="0067225C" w:rsidRPr="00A907E6" w:rsidRDefault="0067225C">
      <w:pPr>
        <w:rPr>
          <w:lang w:val="en-GB"/>
        </w:rPr>
      </w:pPr>
    </w:p>
    <w:sectPr w:rsidR="0067225C" w:rsidRPr="00A907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E6"/>
    <w:rsid w:val="0067225C"/>
    <w:rsid w:val="009D7F9A"/>
    <w:rsid w:val="00A907E6"/>
    <w:rsid w:val="00C10127"/>
    <w:rsid w:val="00F42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3E0A"/>
  <w15:chartTrackingRefBased/>
  <w15:docId w15:val="{CD63760D-C8B2-424C-A868-DBC3421A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07E6"/>
    <w:pPr>
      <w:spacing w:line="240" w:lineRule="auto"/>
    </w:pPr>
    <w:rPr>
      <w:b/>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Herdering, Eva</dc:creator>
  <cp:keywords/>
  <dc:description/>
  <cp:lastModifiedBy>Herdering, Eva</cp:lastModifiedBy>
  <cp:revision>3</cp:revision>
  <dcterms:created xsi:type="dcterms:W3CDTF">2025-02-24T10:19:00Z</dcterms:created>
  <dcterms:modified xsi:type="dcterms:W3CDTF">2025-02-24T10:24:00Z</dcterms:modified>
</cp:coreProperties>
</file>