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E4D" w:rsidRPr="00E16E4D" w:rsidRDefault="00E16E4D" w:rsidP="00E16E4D">
      <w:pPr>
        <w:pStyle w:val="Heading3"/>
        <w:spacing w:before="0" w:beforeAutospacing="0" w:after="60" w:afterAutospacing="0"/>
        <w:rPr>
          <w:b/>
          <w:szCs w:val="24"/>
        </w:rPr>
      </w:pPr>
      <w:r w:rsidRPr="00E16E4D">
        <w:rPr>
          <w:b/>
          <w:szCs w:val="24"/>
        </w:rPr>
        <w:t>Supplementary file 2. NTE/SWS expression in the surface glia is important for the integrity of Drosophila BBB</w:t>
      </w:r>
    </w:p>
    <w:tbl>
      <w:tblPr>
        <w:tblStyle w:val="PlainTable12"/>
        <w:tblW w:w="5534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423"/>
        <w:gridCol w:w="1716"/>
        <w:gridCol w:w="1560"/>
        <w:gridCol w:w="1568"/>
        <w:gridCol w:w="1568"/>
        <w:gridCol w:w="1564"/>
      </w:tblGrid>
      <w:tr w:rsidR="00E16E4D" w:rsidRPr="005E28A5" w:rsidTr="00252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vMerge w:val="restart"/>
            <w:shd w:val="clear" w:color="auto" w:fill="D9D9D9" w:themeFill="background1" w:themeFillShade="D9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Genotype</w:t>
            </w:r>
          </w:p>
        </w:tc>
        <w:tc>
          <w:tcPr>
            <w:tcW w:w="2329" w:type="pct"/>
            <w:gridSpan w:val="3"/>
            <w:shd w:val="clear" w:color="auto" w:fill="D9D9D9" w:themeFill="background1" w:themeFillShade="D9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Phenotypes</w:t>
            </w:r>
          </w:p>
        </w:tc>
        <w:tc>
          <w:tcPr>
            <w:tcW w:w="754" w:type="pct"/>
            <w:vMerge w:val="restart"/>
            <w:shd w:val="clear" w:color="auto" w:fill="D9D9D9" w:themeFill="background1" w:themeFillShade="D9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P-value</w:t>
            </w:r>
          </w:p>
        </w:tc>
        <w:tc>
          <w:tcPr>
            <w:tcW w:w="752" w:type="pct"/>
            <w:vMerge w:val="restart"/>
            <w:shd w:val="clear" w:color="auto" w:fill="D9D9D9" w:themeFill="background1" w:themeFillShade="D9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Number of brain hemi-spheres analyzed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vMerge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b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No lesions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b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Lesions</w:t>
            </w:r>
          </w:p>
        </w:tc>
        <w:tc>
          <w:tcPr>
            <w:tcW w:w="754" w:type="pct"/>
            <w:shd w:val="clear" w:color="auto" w:fill="D9D9D9" w:themeFill="background1" w:themeFillShade="D9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b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 xml:space="preserve">Lesions + </w:t>
            </w:r>
            <w:r w:rsidRPr="008D71F1">
              <w:rPr>
                <w:rFonts w:ascii="Helvetica" w:hAnsi="Helvetica" w:cs="Times New Roman"/>
                <w:b/>
                <w:bCs/>
                <w:sz w:val="24"/>
                <w:szCs w:val="24"/>
              </w:rPr>
              <w:t>membrane clusters</w:t>
            </w:r>
          </w:p>
        </w:tc>
        <w:tc>
          <w:tcPr>
            <w:tcW w:w="754" w:type="pct"/>
            <w:vMerge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</w:p>
        </w:tc>
        <w:tc>
          <w:tcPr>
            <w:tcW w:w="752" w:type="pct"/>
            <w:vMerge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b w:val="0"/>
                <w:bCs w:val="0"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Control</w:t>
            </w:r>
            <w:r w:rsidRPr="00B520C4">
              <w:rPr>
                <w:rFonts w:ascii="Helvetica" w:hAnsi="Helvetica" w:cs="Times New Roman"/>
                <w:iCs/>
                <w:sz w:val="24"/>
                <w:szCs w:val="24"/>
              </w:rPr>
              <w:t xml:space="preserve"> </w:t>
            </w:r>
          </w:p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OR x w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1118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96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14%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11%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75%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9.9E</w:t>
            </w:r>
            <w:r w:rsidRPr="00B520C4">
              <w:rPr>
                <w:rFonts w:ascii="Helvetica" w:hAnsi="Helvetica"/>
                <w:sz w:val="24"/>
                <w:szCs w:val="24"/>
              </w:rPr>
              <w:t>-31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85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/sws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13%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28%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59%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3.3E</w:t>
            </w:r>
            <w:r w:rsidRPr="00B520C4">
              <w:rPr>
                <w:rFonts w:ascii="Helvetica" w:hAnsi="Helvetica"/>
                <w:sz w:val="24"/>
                <w:szCs w:val="24"/>
              </w:rPr>
              <w:t>-29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69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 xml:space="preserve">repo, </w:t>
            </w:r>
            <w:proofErr w:type="spellStart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nSyb</w:t>
            </w:r>
            <w:proofErr w:type="spellEnd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&gt;</w:t>
            </w:r>
            <w:proofErr w:type="spellStart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24%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69%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1.5E</w:t>
            </w:r>
            <w:r w:rsidRPr="00B520C4">
              <w:rPr>
                <w:rFonts w:ascii="Helvetica" w:hAnsi="Helvetica"/>
                <w:sz w:val="24"/>
                <w:szCs w:val="24"/>
              </w:rPr>
              <w:t>-31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62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repo&gt;/Oregon R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99%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0.27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80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repo&gt;</w:t>
            </w:r>
            <w:proofErr w:type="spellStart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13%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86%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1.2E</w:t>
            </w:r>
            <w:r w:rsidRPr="00B520C4">
              <w:rPr>
                <w:rFonts w:ascii="Helvetica" w:hAnsi="Helvetica"/>
                <w:sz w:val="24"/>
                <w:szCs w:val="24"/>
              </w:rPr>
              <w:t>-31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70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; repo&gt;sws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0.46</w:t>
            </w:r>
          </w:p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2.3E</w:t>
            </w:r>
            <w:r w:rsidRPr="00B520C4">
              <w:rPr>
                <w:rFonts w:ascii="Helvetica" w:hAnsi="Helvetica"/>
                <w:sz w:val="24"/>
                <w:szCs w:val="24"/>
              </w:rPr>
              <w:t>-24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43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; repo&gt;</w:t>
            </w:r>
            <w:proofErr w:type="spellStart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hNTE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</w:t>
            </w:r>
            <w:r w:rsidRPr="00B520C4">
              <w:rPr>
                <w:rFonts w:ascii="Helvetica" w:hAnsi="Helvetica" w:cs="Helvetica"/>
                <w:color w:val="000000"/>
                <w:sz w:val="24"/>
                <w:szCs w:val="24"/>
              </w:rPr>
              <w:t>1</w:t>
            </w:r>
          </w:p>
          <w:p w:rsidR="00E16E4D" w:rsidRPr="005E28A5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Calibri"/>
                <w:color w:val="000000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</w:t>
            </w:r>
            <w:r w:rsidRPr="00B520C4">
              <w:rPr>
                <w:rFonts w:ascii="Helvetica" w:hAnsi="Helvetica" w:cs="Helvetica"/>
                <w:color w:val="000000"/>
                <w:sz w:val="24"/>
                <w:szCs w:val="24"/>
              </w:rPr>
              <w:t>1.6E</w:t>
            </w:r>
            <w:r w:rsidRPr="00B520C4">
              <w:rPr>
                <w:rFonts w:ascii="Helvetica" w:hAnsi="Helvetica"/>
                <w:sz w:val="24"/>
                <w:szCs w:val="24"/>
              </w:rPr>
              <w:t>-</w:t>
            </w:r>
            <w:r w:rsidRPr="00B520C4">
              <w:rPr>
                <w:rFonts w:ascii="Helvetica" w:hAnsi="Helvetic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62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moody&gt;/Oregon R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67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15%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15%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1.1E</w:t>
            </w:r>
            <w:r w:rsidRPr="00B520C4">
              <w:rPr>
                <w:rFonts w:ascii="Helvetica" w:hAnsi="Helvetica"/>
                <w:sz w:val="24"/>
                <w:szCs w:val="24"/>
              </w:rPr>
              <w:t>-22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72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moody&gt;sws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98%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0.3</w:t>
            </w:r>
          </w:p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4.3E</w:t>
            </w:r>
            <w:r w:rsidRPr="00B520C4">
              <w:rPr>
                <w:rFonts w:ascii="Helvetica" w:hAnsi="Helvetica"/>
                <w:sz w:val="24"/>
                <w:szCs w:val="24"/>
              </w:rPr>
              <w:t>-21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63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hNTE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</w:t>
            </w:r>
            <w:r w:rsidRPr="00B520C4">
              <w:rPr>
                <w:rFonts w:ascii="Helvetica" w:hAnsi="Helvetica" w:cs="Helvetica"/>
                <w:color w:val="000000"/>
                <w:sz w:val="24"/>
                <w:szCs w:val="24"/>
              </w:rPr>
              <w:t>1</w:t>
            </w:r>
          </w:p>
          <w:p w:rsidR="00E16E4D" w:rsidRPr="005E28A5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Calibri"/>
                <w:color w:val="000000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</w:t>
            </w:r>
            <w:r w:rsidRPr="00B520C4">
              <w:rPr>
                <w:rFonts w:ascii="Helvetica" w:hAnsi="Helvetica" w:cs="Helvetica"/>
                <w:color w:val="000000"/>
                <w:sz w:val="24"/>
                <w:szCs w:val="24"/>
              </w:rPr>
              <w:t>1.9E</w:t>
            </w:r>
            <w:r w:rsidRPr="00B520C4">
              <w:rPr>
                <w:rFonts w:ascii="Helvetica" w:hAnsi="Helvetica"/>
                <w:sz w:val="24"/>
                <w:szCs w:val="24"/>
              </w:rPr>
              <w:t>-</w:t>
            </w:r>
            <w:r w:rsidRPr="00B520C4">
              <w:rPr>
                <w:rFonts w:ascii="Helvetica" w:hAnsi="Helvetic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61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&gt;/Oregon R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58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12%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2.4E</w:t>
            </w:r>
            <w:r w:rsidRPr="00B520C4">
              <w:rPr>
                <w:rFonts w:ascii="Helvetica" w:hAnsi="Helvetica"/>
                <w:sz w:val="24"/>
                <w:szCs w:val="24"/>
              </w:rPr>
              <w:t>-22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60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; 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&gt;sws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98%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0.34</w:t>
            </w:r>
          </w:p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5.5E</w:t>
            </w:r>
            <w:r w:rsidRPr="00B520C4">
              <w:rPr>
                <w:rFonts w:ascii="Helvetica" w:hAnsi="Helvetica"/>
                <w:sz w:val="24"/>
                <w:szCs w:val="24"/>
              </w:rPr>
              <w:t>-23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65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; 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hNTE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</w:t>
            </w:r>
            <w:r w:rsidRPr="00B520C4">
              <w:rPr>
                <w:rFonts w:ascii="Helvetica" w:hAnsi="Helvetica" w:cs="Helvetica"/>
                <w:color w:val="000000"/>
                <w:sz w:val="24"/>
                <w:szCs w:val="24"/>
              </w:rPr>
              <w:t>1</w:t>
            </w:r>
          </w:p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</w:t>
            </w:r>
            <w:r w:rsidRPr="00B520C4">
              <w:rPr>
                <w:rFonts w:ascii="Helvetica" w:hAnsi="Helvetica" w:cs="Helvetica"/>
                <w:color w:val="000000"/>
                <w:sz w:val="24"/>
                <w:szCs w:val="24"/>
              </w:rPr>
              <w:t>8.9E</w:t>
            </w:r>
            <w:r w:rsidRPr="00B520C4">
              <w:rPr>
                <w:rFonts w:ascii="Helvetica" w:hAnsi="Helvetica"/>
                <w:sz w:val="24"/>
                <w:szCs w:val="24"/>
              </w:rPr>
              <w:t>-</w:t>
            </w:r>
            <w:r w:rsidRPr="00B520C4">
              <w:rPr>
                <w:rFonts w:ascii="Helvetica" w:hAnsi="Helvetic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60</w:t>
            </w:r>
          </w:p>
        </w:tc>
      </w:tr>
      <w:tr w:rsidR="00E16E4D" w:rsidRPr="005E28A5" w:rsidTr="002525D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ΔC17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17%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23%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1.2E-32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118</w:t>
            </w:r>
          </w:p>
        </w:tc>
      </w:tr>
      <w:tr w:rsidR="00E16E4D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825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4%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0%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96%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1.5E-27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E16E4D" w:rsidRPr="00B520C4" w:rsidRDefault="00E16E4D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28</w:t>
            </w:r>
          </w:p>
        </w:tc>
      </w:tr>
    </w:tbl>
    <w:p w:rsidR="00E16E4D" w:rsidRPr="00B520C4" w:rsidRDefault="00E16E4D" w:rsidP="00093A1B">
      <w:pPr>
        <w:spacing w:after="0" w:line="240" w:lineRule="auto"/>
        <w:jc w:val="both"/>
        <w:rPr>
          <w:rFonts w:ascii="Helvetica" w:hAnsi="Helvetica" w:cs="Times New Roman"/>
          <w:iCs/>
          <w:color w:val="000000" w:themeColor="text1"/>
          <w:sz w:val="24"/>
          <w:szCs w:val="24"/>
        </w:rPr>
      </w:pPr>
      <w:bookmarkStart w:id="0" w:name="_GoBack"/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a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compared to control </w:t>
      </w:r>
      <w:r w:rsidRPr="00B520C4">
        <w:rPr>
          <w:rFonts w:ascii="Helvetica" w:hAnsi="Helvetica" w:cs="Times New Roman"/>
          <w:iCs/>
          <w:color w:val="000000" w:themeColor="text1"/>
          <w:sz w:val="24"/>
          <w:szCs w:val="24"/>
        </w:rPr>
        <w:t>(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>OR x w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  <w:vertAlign w:val="superscript"/>
        </w:rPr>
        <w:t>1118</w:t>
      </w:r>
      <w:r w:rsidRPr="00B520C4">
        <w:rPr>
          <w:rFonts w:ascii="Helvetica" w:hAnsi="Helvetica" w:cs="Times New Roman"/>
          <w:iCs/>
          <w:color w:val="000000" w:themeColor="text1"/>
          <w:sz w:val="24"/>
          <w:szCs w:val="24"/>
        </w:rPr>
        <w:t>)</w:t>
      </w:r>
    </w:p>
    <w:p w:rsidR="00E16E4D" w:rsidRPr="00B520C4" w:rsidRDefault="00E16E4D" w:rsidP="00093A1B">
      <w:pPr>
        <w:spacing w:after="0" w:line="240" w:lineRule="auto"/>
        <w:jc w:val="both"/>
        <w:rPr>
          <w:rFonts w:ascii="Helvetica" w:hAnsi="Helvetica" w:cs="Times New Roman"/>
          <w:i/>
          <w:iCs/>
          <w:color w:val="000000" w:themeColor="text1"/>
          <w:sz w:val="24"/>
          <w:szCs w:val="24"/>
        </w:rPr>
      </w:pPr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b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>compared</w:t>
      </w:r>
      <w:proofErr w:type="gramEnd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 to </w:t>
      </w:r>
      <w:r w:rsidRPr="00B520C4">
        <w:rPr>
          <w:rFonts w:ascii="Helvetica" w:hAnsi="Helvetica" w:cs="Times New Roman"/>
          <w:i/>
          <w:color w:val="000000" w:themeColor="text1"/>
          <w:sz w:val="24"/>
          <w:szCs w:val="24"/>
        </w:rPr>
        <w:t xml:space="preserve">Gal4-driver 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 xml:space="preserve">x OR </w:t>
      </w:r>
    </w:p>
    <w:p w:rsidR="00E16E4D" w:rsidRPr="00B520C4" w:rsidRDefault="00E16E4D" w:rsidP="00093A1B">
      <w:pPr>
        <w:spacing w:after="0" w:line="240" w:lineRule="auto"/>
        <w:jc w:val="both"/>
        <w:rPr>
          <w:rFonts w:ascii="Helvetica" w:hAnsi="Helvetica" w:cs="Times New Roman"/>
          <w:i/>
          <w:iCs/>
          <w:color w:val="000000" w:themeColor="text1"/>
          <w:sz w:val="24"/>
          <w:szCs w:val="24"/>
        </w:rPr>
      </w:pPr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c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>compared</w:t>
      </w:r>
      <w:proofErr w:type="gramEnd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 to </w:t>
      </w:r>
      <w:r w:rsidRPr="00B520C4">
        <w:rPr>
          <w:rFonts w:ascii="Helvetica" w:hAnsi="Helvetica" w:cs="Times New Roman"/>
          <w:i/>
          <w:color w:val="000000" w:themeColor="text1"/>
          <w:sz w:val="24"/>
          <w:szCs w:val="24"/>
        </w:rPr>
        <w:t xml:space="preserve">Gal4-driver 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>x UAS-</w:t>
      </w:r>
      <w:proofErr w:type="spellStart"/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>sws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  <w:vertAlign w:val="superscript"/>
        </w:rPr>
        <w:t>RNAi</w:t>
      </w:r>
      <w:proofErr w:type="spellEnd"/>
    </w:p>
    <w:p w:rsidR="00E314AA" w:rsidRPr="00E16E4D" w:rsidRDefault="00E16E4D" w:rsidP="00093A1B">
      <w:pPr>
        <w:spacing w:after="0"/>
        <w:jc w:val="both"/>
      </w:pPr>
      <w:r w:rsidRPr="00B520C4">
        <w:rPr>
          <w:rFonts w:ascii="Helvetica" w:hAnsi="Helvetica" w:cs="Helvetica"/>
          <w:sz w:val="24"/>
          <w:szCs w:val="24"/>
        </w:rPr>
        <w:t xml:space="preserve">The values </w:t>
      </w:r>
      <w:proofErr w:type="gramStart"/>
      <w:r w:rsidRPr="00B520C4">
        <w:rPr>
          <w:rFonts w:ascii="Helvetica" w:hAnsi="Helvetica" w:cs="Helvetica"/>
          <w:sz w:val="24"/>
          <w:szCs w:val="24"/>
        </w:rPr>
        <w:t>are reported</w:t>
      </w:r>
      <w:proofErr w:type="gramEnd"/>
      <w:r w:rsidRPr="00B520C4">
        <w:rPr>
          <w:rFonts w:ascii="Helvetica" w:hAnsi="Helvetica" w:cs="Helvetica"/>
          <w:sz w:val="24"/>
          <w:szCs w:val="24"/>
        </w:rPr>
        <w:t xml:space="preserve"> from experiments done in triplicates.</w:t>
      </w:r>
      <w:r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 xml:space="preserve"> </w:t>
      </w:r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>For statistical analyses of the observed phenotypes, two-way tables and χ</w:t>
      </w:r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  <w:vertAlign w:val="superscript"/>
        </w:rPr>
        <w:t>2</w:t>
      </w:r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 xml:space="preserve">-test </w:t>
      </w:r>
      <w:proofErr w:type="gramStart"/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>were used</w:t>
      </w:r>
      <w:proofErr w:type="gramEnd"/>
      <w:r w:rsidRPr="00B520C4">
        <w:rPr>
          <w:rFonts w:ascii="Helvetica" w:hAnsi="Helvetica" w:cs="Times New Roman"/>
          <w:color w:val="000000" w:themeColor="text1"/>
          <w:spacing w:val="-2"/>
          <w:position w:val="-2"/>
          <w:sz w:val="24"/>
          <w:szCs w:val="24"/>
        </w:rPr>
        <w:t>.</w:t>
      </w:r>
      <w:bookmarkEnd w:id="0"/>
    </w:p>
    <w:sectPr w:rsidR="00E314AA" w:rsidRPr="00E16E4D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C54"/>
    <w:multiLevelType w:val="hybridMultilevel"/>
    <w:tmpl w:val="288E36E4"/>
    <w:lvl w:ilvl="0" w:tplc="371A6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62F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CA2B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65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90A4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8D0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493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4E3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3AFD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F0B38"/>
    <w:multiLevelType w:val="hybridMultilevel"/>
    <w:tmpl w:val="24B21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204C"/>
    <w:multiLevelType w:val="multilevel"/>
    <w:tmpl w:val="9608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62"/>
    <w:rsid w:val="00093A1B"/>
    <w:rsid w:val="001E0E79"/>
    <w:rsid w:val="00552362"/>
    <w:rsid w:val="00C47012"/>
    <w:rsid w:val="00E1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8B4B9-859A-4595-B9C0-1218A473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4D"/>
  </w:style>
  <w:style w:type="paragraph" w:styleId="Heading1">
    <w:name w:val="heading 1"/>
    <w:basedOn w:val="Normal"/>
    <w:next w:val="Normal"/>
    <w:link w:val="Heading1Char"/>
    <w:uiPriority w:val="9"/>
    <w:qFormat/>
    <w:rsid w:val="005523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52362"/>
    <w:pPr>
      <w:spacing w:before="100" w:beforeAutospacing="1" w:after="100" w:afterAutospacing="1" w:line="240" w:lineRule="auto"/>
      <w:jc w:val="center"/>
      <w:outlineLvl w:val="2"/>
    </w:pPr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3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3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2362"/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3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552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5523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52362"/>
    <w:rPr>
      <w:i/>
      <w:iCs/>
    </w:rPr>
  </w:style>
  <w:style w:type="character" w:customStyle="1" w:styleId="apple-converted-space">
    <w:name w:val="apple-converted-space"/>
    <w:basedOn w:val="DefaultParagraphFont"/>
    <w:rsid w:val="00552362"/>
  </w:style>
  <w:style w:type="character" w:customStyle="1" w:styleId="highlight">
    <w:name w:val="highlight"/>
    <w:basedOn w:val="DefaultParagraphFont"/>
    <w:rsid w:val="00552362"/>
  </w:style>
  <w:style w:type="character" w:styleId="FollowedHyperlink">
    <w:name w:val="FollowedHyperlink"/>
    <w:basedOn w:val="DefaultParagraphFont"/>
    <w:uiPriority w:val="99"/>
    <w:semiHidden/>
    <w:unhideWhenUsed/>
    <w:rsid w:val="0055236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55236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236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5236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2362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62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uiPriority w:val="99"/>
    <w:rsid w:val="00552362"/>
    <w:rPr>
      <w:rFonts w:cs="Times New Roman"/>
    </w:rPr>
  </w:style>
  <w:style w:type="table" w:customStyle="1" w:styleId="PlainTable12">
    <w:name w:val="Plain Table 12"/>
    <w:basedOn w:val="TableNormal"/>
    <w:uiPriority w:val="41"/>
    <w:rsid w:val="005523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552362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62BackMatter">
    <w:name w:val="MDPI_6.2_BackMatter"/>
    <w:qFormat/>
    <w:rsid w:val="0055236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NoSpacing">
    <w:name w:val="No Spacing"/>
    <w:link w:val="NoSpacingChar"/>
    <w:uiPriority w:val="1"/>
    <w:qFormat/>
    <w:rsid w:val="00552362"/>
    <w:pPr>
      <w:spacing w:after="0" w:line="240" w:lineRule="auto"/>
      <w:jc w:val="both"/>
    </w:pPr>
    <w:rPr>
      <w:rFonts w:ascii="Helvetica" w:hAnsi="Helvetica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552362"/>
    <w:rPr>
      <w:rFonts w:ascii="Helvetica" w:hAnsi="Helvetica"/>
      <w:sz w:val="24"/>
    </w:rPr>
  </w:style>
  <w:style w:type="character" w:customStyle="1" w:styleId="toptext">
    <w:name w:val="top__text"/>
    <w:basedOn w:val="DefaultParagraphFont"/>
    <w:rsid w:val="00552362"/>
  </w:style>
  <w:style w:type="paragraph" w:customStyle="1" w:styleId="paragraph">
    <w:name w:val="paragraph"/>
    <w:basedOn w:val="Normal"/>
    <w:rsid w:val="00552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523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62"/>
  </w:style>
  <w:style w:type="paragraph" w:styleId="Footer">
    <w:name w:val="footer"/>
    <w:basedOn w:val="Normal"/>
    <w:link w:val="Foot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62"/>
  </w:style>
  <w:style w:type="table" w:styleId="TableGrid">
    <w:name w:val="Table Grid"/>
    <w:basedOn w:val="TableNormal"/>
    <w:uiPriority w:val="39"/>
    <w:rsid w:val="0055236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ne">
    <w:name w:val="gene"/>
    <w:basedOn w:val="DefaultParagraphFont"/>
    <w:rsid w:val="00552362"/>
  </w:style>
  <w:style w:type="paragraph" w:styleId="Revision">
    <w:name w:val="Revision"/>
    <w:hidden/>
    <w:uiPriority w:val="99"/>
    <w:semiHidden/>
    <w:rsid w:val="00552362"/>
    <w:pPr>
      <w:spacing w:after="0" w:line="240" w:lineRule="auto"/>
    </w:pPr>
    <w:rPr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55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523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23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362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5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Sliusarenko, Mariana</dc:creator>
  <cp:keywords/>
  <dc:description/>
  <cp:lastModifiedBy>Sliusarenko, Mariana</cp:lastModifiedBy>
  <cp:revision>3</cp:revision>
  <dcterms:created xsi:type="dcterms:W3CDTF">2024-04-17T08:19:00Z</dcterms:created>
  <dcterms:modified xsi:type="dcterms:W3CDTF">2024-04-22T10:39:00Z</dcterms:modified>
</cp:coreProperties>
</file>