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C23E9" w:rsidRDefault="00000000">
      <w:pPr>
        <w:spacing w:line="360" w:lineRule="auto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Evolutionary model</w:t>
      </w:r>
    </w:p>
    <w:p w14:paraId="00000002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We developed a Wright-Fisher model that describes the evolutionary dynamics, </w:t>
      </w:r>
      <w:proofErr w:type="gramStart"/>
      <w:r>
        <w:rPr>
          <w:rFonts w:ascii="David" w:eastAsia="David" w:hAnsi="David" w:cs="David"/>
          <w:sz w:val="24"/>
          <w:szCs w:val="24"/>
        </w:rPr>
        <w:t>similar to</w:t>
      </w:r>
      <w:proofErr w:type="gramEnd"/>
      <w:r>
        <w:rPr>
          <w:rFonts w:ascii="David" w:eastAsia="David" w:hAnsi="David" w:cs="David"/>
          <w:sz w:val="24"/>
          <w:szCs w:val="24"/>
        </w:rPr>
        <w:t xml:space="preserve"> our previous study </w:t>
      </w:r>
      <w:r w:rsidRPr="00AA0E33">
        <w:rPr>
          <w:rFonts w:ascii="David" w:hAnsi="David" w:cs="David" w:hint="cs"/>
          <w:sz w:val="24"/>
          <w:szCs w:val="24"/>
        </w:rPr>
        <w:t>(</w:t>
      </w:r>
      <w:proofErr w:type="spellStart"/>
      <w:r w:rsidRPr="00AA0E33">
        <w:rPr>
          <w:rFonts w:ascii="David" w:hAnsi="David" w:cs="David" w:hint="cs"/>
          <w:sz w:val="24"/>
          <w:szCs w:val="24"/>
        </w:rPr>
        <w:t>Avecilla</w:t>
      </w:r>
      <w:proofErr w:type="spellEnd"/>
      <w:r w:rsidRPr="00AA0E33">
        <w:rPr>
          <w:rFonts w:ascii="David" w:hAnsi="David" w:cs="David" w:hint="cs"/>
          <w:sz w:val="24"/>
          <w:szCs w:val="24"/>
        </w:rPr>
        <w:t xml:space="preserve"> et al., 2022). </w:t>
      </w:r>
      <w:r>
        <w:rPr>
          <w:rFonts w:ascii="David" w:eastAsia="David" w:hAnsi="David" w:cs="David"/>
          <w:sz w:val="24"/>
          <w:szCs w:val="24"/>
        </w:rPr>
        <w:t xml:space="preserve">This is a discrete-time, non-overlapping generations model with a constant population size. Our model follows the change in frequency of four genotypes (Fig 2A):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A</m:t>
        </m:r>
      </m:oMath>
      <w:r>
        <w:rPr>
          <w:rFonts w:ascii="David" w:eastAsia="David" w:hAnsi="David" w:cs="David"/>
          <w:sz w:val="24"/>
          <w:szCs w:val="24"/>
        </w:rPr>
        <w:t xml:space="preserve">, the wildtype genotype;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B</m:t>
        </m:r>
      </m:oMath>
      <w:r>
        <w:rPr>
          <w:rFonts w:ascii="David" w:eastAsia="David" w:hAnsi="David" w:cs="David"/>
          <w:sz w:val="24"/>
          <w:szCs w:val="24"/>
        </w:rPr>
        <w:t xml:space="preserve">, a cell with a non-CNV beneficial mutation;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, a genotype with two copies of GAP1 and two copies of the fluorescent reporter; and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, a genotype with two copies of GAP1 but only a single copy of the fluorescent reporter. CNV and non-CNV mutations are formed at a rate of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and have a fitness effect of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, respectively. </w:t>
      </w:r>
    </w:p>
    <w:p w14:paraId="00000003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Unlike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B </m:t>
        </m:r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, which may increase in frequency due to both mutation and selection, we assume that the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 genotype is not generated after generation 0 (as experimental results suggest that the reporter is working properly). Hence, the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 genotype only increases in frequency due to selection, with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as its fitness effect. We assume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 has an initial frequency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-</m:t>
                </m:r>
              </m:sup>
            </m:sSup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=φ</m:t>
        </m:r>
      </m:oMath>
      <w:r>
        <w:rPr>
          <w:rFonts w:ascii="David" w:eastAsia="David" w:hAnsi="David" w:cs="David"/>
          <w:sz w:val="24"/>
          <w:szCs w:val="24"/>
        </w:rPr>
        <w:t>.</w:t>
      </w:r>
      <w:r>
        <w:rPr>
          <w:rFonts w:ascii="David" w:eastAsia="David" w:hAnsi="David" w:cs="David"/>
          <w:sz w:val="24"/>
          <w:szCs w:val="24"/>
        </w:rPr>
        <w:br/>
        <w:t>The model is fully described by the following derivations.</w:t>
      </w:r>
    </w:p>
    <w:p w14:paraId="00000004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Initial genotype frequencies are:</w:t>
      </w:r>
    </w:p>
    <w:p w14:paraId="00000005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=1-φ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=0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=φ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=0</m:t>
          </m:r>
        </m:oMath>
      </m:oMathPara>
    </w:p>
    <w:p w14:paraId="00000006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The change in genotype frequencies due to mutation is expressed by</w:t>
      </w:r>
    </w:p>
    <w:p w14:paraId="00000007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sub>
              </m:sSub>
            </m:e>
          </m:d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</m:sSub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C</m:t>
              </m:r>
            </m:sub>
          </m:sSub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</m:sup>
              </m:sSup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</m:oMath>
      </m:oMathPara>
    </w:p>
    <w:p w14:paraId="00000008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The change in genotype frequencies due to selection is expressed by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*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 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num>
          <m:den>
            <m:bar>
              <m:bar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w</m:t>
                </m:r>
              </m:e>
            </m:ba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</w:p>
    <w:p w14:paraId="00000009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=1+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for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i=B,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A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=1,  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-</m:t>
                </m:r>
              </m:sup>
            </m:sSup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+</m:t>
                </m:r>
              </m:sup>
            </m:sSup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 is the relative fitness of genotype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i</m:t>
        </m:r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 </m:t>
        </m:r>
        <m:bar>
          <m:bar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bar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</m:bar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nary>
          <m:naryPr>
            <m:chr m:val="∑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i∈</m:t>
            </m:r>
            <m:d>
              <m:dPr>
                <m:begChr m:val="{"/>
                <m:endChr m:val="}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A,B,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+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</m:t>
                    </m:r>
                  </m:sup>
                </m:sSup>
              </m:e>
            </m:d>
          </m:sub>
          <m:sup/>
          <m:e/>
        </m:nary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is the population mean fitness.</w:t>
      </w:r>
    </w:p>
    <w:p w14:paraId="0000000A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The change in genotype frequencies due to random genetic drift is given by</w:t>
      </w:r>
    </w:p>
    <w:p w14:paraId="0000000B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eastAsia="Cambria Math" w:hAnsi="Cambria Math" w:cs="Cambria Math"/>
              <w:sz w:val="24"/>
              <w:szCs w:val="24"/>
            </w:rPr>
            <m:t>=Multinomial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N,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</m:t>
                  </m:r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</m:t>
                  </m:r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-</m:t>
                          </m:r>
                        </m:sup>
                      </m:sSup>
                    </m:sub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, </m:t>
                  </m:r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+</m:t>
                          </m:r>
                        </m:sup>
                      </m:sSup>
                    </m:sub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*</m:t>
                      </m:r>
                    </m:sup>
                  </m:sSubSup>
                </m:e>
              </m:d>
            </m:e>
          </m:d>
        </m:oMath>
      </m:oMathPara>
    </w:p>
    <w:p w14:paraId="0000000C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is the number of cells with genotype </w:t>
      </w:r>
      <w:proofErr w:type="spellStart"/>
      <w:r>
        <w:rPr>
          <w:rFonts w:ascii="David" w:eastAsia="David" w:hAnsi="David" w:cs="David"/>
          <w:i/>
          <w:sz w:val="24"/>
          <w:szCs w:val="24"/>
        </w:rPr>
        <w:t>i</w:t>
      </w:r>
      <w:proofErr w:type="spellEnd"/>
      <w:r>
        <w:rPr>
          <w:rFonts w:ascii="David" w:eastAsia="David" w:hAnsi="David" w:cs="David"/>
          <w:sz w:val="24"/>
          <w:szCs w:val="24"/>
        </w:rPr>
        <w:t>, and therefore the genotype frequencies in the next generation are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t+1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den>
        </m:f>
      </m:oMath>
    </w:p>
    <w:p w14:paraId="0000000D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where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N</m:t>
        </m:r>
      </m:oMath>
      <w:r>
        <w:rPr>
          <w:rFonts w:ascii="David" w:eastAsia="David" w:hAnsi="David" w:cs="David"/>
          <w:sz w:val="24"/>
          <w:szCs w:val="24"/>
        </w:rPr>
        <w:t xml:space="preserve"> is the population size, set to be constant at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3.3×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</m:oMath>
      <w:r>
        <w:rPr>
          <w:rFonts w:ascii="David" w:eastAsia="David" w:hAnsi="David" w:cs="David"/>
          <w:sz w:val="24"/>
          <w:szCs w:val="24"/>
        </w:rPr>
        <w:t>, the effective population size in the chemostat (</w:t>
      </w:r>
      <w:proofErr w:type="spellStart"/>
      <w:r w:rsidRPr="00AA0E33">
        <w:rPr>
          <w:rFonts w:ascii="David" w:hAnsi="David" w:cs="David" w:hint="cs"/>
          <w:sz w:val="24"/>
          <w:szCs w:val="24"/>
        </w:rPr>
        <w:t>Avecilla</w:t>
      </w:r>
      <w:proofErr w:type="spellEnd"/>
      <w:r w:rsidRPr="00AA0E33">
        <w:rPr>
          <w:rFonts w:ascii="David" w:hAnsi="David" w:cs="David" w:hint="cs"/>
          <w:sz w:val="24"/>
          <w:szCs w:val="24"/>
        </w:rPr>
        <w:t xml:space="preserve"> et al., 2022</w:t>
      </w:r>
      <w:r w:rsidRPr="00AA0E33">
        <w:rPr>
          <w:rFonts w:ascii="David" w:eastAsia="David" w:hAnsi="David" w:cs="David"/>
          <w:sz w:val="24"/>
          <w:szCs w:val="24"/>
        </w:rPr>
        <w:t>).</w:t>
      </w:r>
      <w:r>
        <w:rPr>
          <w:rFonts w:ascii="David" w:eastAsia="David" w:hAnsi="David" w:cs="David"/>
          <w:sz w:val="24"/>
          <w:szCs w:val="24"/>
        </w:rPr>
        <w:t xml:space="preserve"> Overall, we have five model parameters: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,φ</m:t>
        </m:r>
      </m:oMath>
      <w:r>
        <w:rPr>
          <w:rFonts w:ascii="David" w:eastAsia="David" w:hAnsi="David" w:cs="David"/>
          <w:sz w:val="24"/>
          <w:szCs w:val="24"/>
        </w:rPr>
        <w:t xml:space="preserve">. </w:t>
      </w:r>
    </w:p>
    <w:p w14:paraId="0000000E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lastRenderedPageBreak/>
        <w:t xml:space="preserve">The empirical observations show the frequency of cells with multiple GAP1 reporters over time. This is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+</m:t>
                </m:r>
              </m:sup>
            </m:sSup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 xml:space="preserve"> in our model. Therefore, we can use the evolutionary model to simulate dynamics in the shape of the empirical observations, which we will then use for inference with NPE.</w:t>
      </w:r>
    </w:p>
    <w:p w14:paraId="0000000F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Competition model.</w:t>
      </w:r>
      <w:r>
        <w:rPr>
          <w:rFonts w:ascii="David" w:eastAsia="David" w:hAnsi="David" w:cs="David"/>
          <w:sz w:val="24"/>
          <w:szCs w:val="24"/>
        </w:rPr>
        <w:t xml:space="preserve"> Similarly, we can simulate a competition assay between two genotypes. The model steps are as follows:</w:t>
      </w:r>
    </w:p>
    <w:p w14:paraId="00000010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Initial genotype frequencies are:</w:t>
      </w:r>
    </w:p>
    <w:p w14:paraId="00000011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=0.5</m:t>
          </m:r>
        </m:oMath>
      </m:oMathPara>
    </w:p>
    <w:p w14:paraId="00000012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=0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=0</m:t>
          </m:r>
        </m:oMath>
      </m:oMathPara>
    </w:p>
    <w:p w14:paraId="00000013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The change in genotype frequencies due to mutation is expressed by</w:t>
      </w:r>
    </w:p>
    <w:p w14:paraId="00000014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δ</m:t>
                  </m:r>
                </m:e>
                <m: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sub>
              </m:sSub>
            </m:e>
          </m:d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δ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B</m:t>
              </m:r>
            </m:sub>
          </m:sSub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  <m:r>
            <w:rPr>
              <w:rFonts w:ascii="Cambria Math" w:eastAsia="Cambria Math" w:hAnsi="Cambria Math" w:cs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</m:sSub>
          <m:sSubSup>
            <m:sSub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</m:sub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sup>
          </m:sSubSup>
        </m:oMath>
      </m:oMathPara>
    </w:p>
    <w:p w14:paraId="00000015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The change in genotype frequencies due to selection is expressed by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*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 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num>
          <m:den>
            <m:bar>
              <m:bar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w</m:t>
                </m:r>
              </m:e>
            </m:ba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</w:p>
    <w:p w14:paraId="00000016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=1+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for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G=B,C</m:t>
        </m:r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i=1,2</m:t>
        </m:r>
      </m:oMath>
      <w:r>
        <w:rPr>
          <w:rFonts w:ascii="David" w:eastAsia="David" w:hAnsi="David" w:cs="David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(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=1)</m:t>
        </m:r>
      </m:oMath>
      <w:r>
        <w:rPr>
          <w:rFonts w:ascii="David" w:eastAsia="David" w:hAnsi="David" w:cs="David"/>
          <w:sz w:val="24"/>
          <w:szCs w:val="24"/>
        </w:rPr>
        <w:t xml:space="preserve"> is the relative fitness of genotype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 </m:t>
        </m:r>
        <m:bar>
          <m:bar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bar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</m:bar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nary>
          <m:naryPr>
            <m:chr m:val="∑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G∈</m:t>
            </m:r>
            <m:d>
              <m:dPr>
                <m:begChr m:val="{"/>
                <m:endChr m:val="}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A,B,C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, i∈</m:t>
            </m:r>
            <m:d>
              <m:dPr>
                <m:begChr m:val="{"/>
                <m:endChr m:val="}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1,2</m:t>
                </m:r>
              </m:e>
            </m:d>
          </m:sub>
          <m:sup/>
          <m:e/>
        </m:nary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w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</m:sSub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is the population mean fitness.</w:t>
      </w:r>
    </w:p>
    <w:p w14:paraId="00000017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Note that here we have different formation rates and selection coefficients for the two competing genotypes.</w:t>
      </w:r>
    </w:p>
    <w:p w14:paraId="00000018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Genetic drift will be applied in the same manner as in the original model.</w:t>
      </w:r>
    </w:p>
    <w:p w14:paraId="00000019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We’re interested in the competition’s outcome, i.e.,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  <m:r>
          <w:rPr>
            <w:rFonts w:ascii="Cambria Math" w:eastAsia="Cambria Math" w:hAnsi="Cambria Math" w:cs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>.</w:t>
      </w:r>
    </w:p>
    <w:p w14:paraId="0000001A" w14:textId="77777777" w:rsidR="006C23E9" w:rsidRDefault="00000000">
      <w:pPr>
        <w:rPr>
          <w:rFonts w:ascii="David" w:eastAsia="David" w:hAnsi="David" w:cs="David"/>
          <w:b/>
          <w:sz w:val="24"/>
          <w:szCs w:val="24"/>
        </w:rPr>
      </w:pPr>
      <w:r>
        <w:br w:type="page"/>
      </w:r>
      <w:r>
        <w:rPr>
          <w:rFonts w:ascii="David" w:eastAsia="David" w:hAnsi="David" w:cs="David"/>
          <w:b/>
          <w:sz w:val="24"/>
          <w:szCs w:val="24"/>
        </w:rPr>
        <w:lastRenderedPageBreak/>
        <w:t>Collective posterior distribution</w:t>
      </w:r>
    </w:p>
    <w:p w14:paraId="0000001B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The above stochastic evolutionary model can be represented by a likelihood function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X|θ</m:t>
            </m:r>
          </m:e>
        </m:d>
      </m:oMath>
      <w:r>
        <w:rPr>
          <w:rFonts w:ascii="David" w:eastAsia="David" w:hAnsi="David" w:cs="David"/>
          <w:sz w:val="24"/>
          <w:szCs w:val="24"/>
        </w:rPr>
        <w:t xml:space="preserve"> with </w:t>
      </w:r>
      <w:r>
        <w:rPr>
          <w:rFonts w:ascii="David" w:eastAsia="David" w:hAnsi="David" w:cs="David"/>
          <w:i/>
          <w:sz w:val="24"/>
          <w:szCs w:val="24"/>
        </w:rPr>
        <w:t>X</w:t>
      </w:r>
      <w:r>
        <w:rPr>
          <w:rFonts w:ascii="David" w:eastAsia="David" w:hAnsi="David" w:cs="David"/>
          <w:sz w:val="24"/>
          <w:szCs w:val="24"/>
        </w:rPr>
        <w:t xml:space="preserve"> as a vector of genotype frequencies and </w:t>
      </w:r>
      <m:oMath>
        <m:r>
          <w:rPr>
            <w:rFonts w:ascii="Cambria Math" w:hAnsi="Cambria Math"/>
          </w:rPr>
          <m:t>θ</m:t>
        </m:r>
      </m:oMath>
      <w:r>
        <w:rPr>
          <w:rFonts w:ascii="David" w:eastAsia="David" w:hAnsi="David" w:cs="David"/>
          <w:sz w:val="24"/>
          <w:szCs w:val="24"/>
        </w:rPr>
        <w:t xml:space="preserve"> as a vector of model parameters. In our case, </w:t>
      </w:r>
      <w:proofErr w:type="gramStart"/>
      <w:r>
        <w:rPr>
          <w:rFonts w:ascii="David" w:eastAsia="David" w:hAnsi="David" w:cs="David"/>
          <w:i/>
          <w:sz w:val="24"/>
          <w:szCs w:val="24"/>
        </w:rPr>
        <w:t>X</w:t>
      </w:r>
      <w:r>
        <w:rPr>
          <w:rFonts w:ascii="David" w:eastAsia="David" w:hAnsi="David" w:cs="David"/>
          <w:sz w:val="24"/>
          <w:szCs w:val="24"/>
        </w:rPr>
        <w:t xml:space="preserve">  is</w:t>
      </w:r>
      <w:proofErr w:type="gramEnd"/>
      <w:r>
        <w:rPr>
          <w:rFonts w:ascii="David" w:eastAsia="David" w:hAnsi="David" w:cs="David"/>
          <w:sz w:val="24"/>
          <w:szCs w:val="24"/>
        </w:rPr>
        <w:t xml:space="preserve"> actually a summary of genotype frequencies, as X(t) gives the frequency of cells with two or more GAP1 copies with reporters: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+</m:t>
                </m:r>
              </m:sup>
            </m:sSup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 xml:space="preserve">. </w:t>
      </w:r>
    </w:p>
    <w:p w14:paraId="0000001C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Simulation-based Bayesian inference methods, such as ABC, produce a posterior distribution over model parameters by comparing model simulations to the empirical data when the likelihood is intractable. However, when a collection of observations is assumed to arrive from the same distribution, such as in repeated biological experiments, we are provided with more information that could be used for collective conclusions.</w:t>
      </w:r>
      <w:r>
        <w:rPr>
          <w:rFonts w:ascii="David" w:eastAsia="David" w:hAnsi="David" w:cs="David"/>
          <w:sz w:val="24"/>
          <w:szCs w:val="24"/>
        </w:rPr>
        <w:br/>
      </w:r>
      <w:r w:rsidRPr="00AA0E33">
        <w:rPr>
          <w:rFonts w:ascii="David" w:eastAsia="David" w:hAnsi="David" w:cs="David"/>
          <w:sz w:val="24"/>
          <w:szCs w:val="24"/>
        </w:rPr>
        <w:t>Dietrich</w:t>
      </w:r>
      <w:r w:rsidRPr="00AA0E33">
        <w:rPr>
          <w:sz w:val="24"/>
          <w:szCs w:val="24"/>
        </w:rPr>
        <w:t xml:space="preserve"> </w:t>
      </w:r>
      <w:r w:rsidRPr="00AA0E33">
        <w:rPr>
          <w:rFonts w:ascii="David" w:hAnsi="David" w:cs="David" w:hint="cs"/>
          <w:sz w:val="24"/>
          <w:szCs w:val="24"/>
        </w:rPr>
        <w:t>(Dietrich, 2010)</w:t>
      </w:r>
      <w:r w:rsidRPr="00AA0E33">
        <w:rPr>
          <w:sz w:val="24"/>
          <w:szCs w:val="24"/>
        </w:rPr>
        <w:t xml:space="preserve"> </w:t>
      </w:r>
      <w:r w:rsidRPr="00AA0E33">
        <w:rPr>
          <w:rFonts w:ascii="David" w:eastAsia="David" w:hAnsi="David" w:cs="David"/>
          <w:sz w:val="24"/>
          <w:szCs w:val="24"/>
        </w:rPr>
        <w:t>showed</w:t>
      </w:r>
      <w:r>
        <w:rPr>
          <w:rFonts w:ascii="David" w:eastAsia="David" w:hAnsi="David" w:cs="David"/>
          <w:sz w:val="24"/>
          <w:szCs w:val="24"/>
        </w:rPr>
        <w:t xml:space="preserve"> an axiomatic approach to finding a group belief in a Bayesian setting, that is, a collective belief based on all observations, relying on probability rules to form the probability of a hypothesis H given a collection of beliefs </w:t>
      </w:r>
      <m:oMath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E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1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,...,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E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n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- </w:t>
      </w:r>
      <m:oMath>
        <m:r>
          <w:rPr>
            <w:rFonts w:ascii="David" w:eastAsia="David" w:hAnsi="David" w:cs="David"/>
            <w:sz w:val="24"/>
            <w:szCs w:val="24"/>
          </w:rPr>
          <m:t>P(H|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E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1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,...,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E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n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>.</w:t>
      </w:r>
    </w:p>
    <w:p w14:paraId="0000001D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Given an evolutionary model, we could use a similar axiomatic approach to form </w:t>
      </w:r>
      <m:oMath>
        <m:r>
          <w:rPr>
            <w:rFonts w:ascii="David" w:eastAsia="David" w:hAnsi="David" w:cs="David"/>
            <w:sz w:val="24"/>
            <w:szCs w:val="24"/>
          </w:rPr>
          <m:t>P(θ|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X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1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,...,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X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n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 – a collective posterior distribution for model parameters θ, conditioned on all observations </w:t>
      </w:r>
      <m:oMath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X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1</m:t>
            </m:r>
          </m:sub>
        </m:sSub>
        <m:r>
          <w:rPr>
            <w:rFonts w:ascii="David" w:eastAsia="David" w:hAnsi="David" w:cs="David"/>
            <w:sz w:val="24"/>
            <w:szCs w:val="24"/>
          </w:rPr>
          <m:t>,...,</m:t>
        </m:r>
        <m:sSub>
          <m:sSubPr>
            <m:ctrlPr>
              <w:rPr>
                <w:rFonts w:ascii="David" w:eastAsia="David" w:hAnsi="David" w:cs="David"/>
                <w:sz w:val="24"/>
                <w:szCs w:val="24"/>
              </w:rPr>
            </m:ctrlPr>
          </m:sSubPr>
          <m:e>
            <m:r>
              <w:rPr>
                <w:rFonts w:ascii="David" w:eastAsia="David" w:hAnsi="David" w:cs="David"/>
                <w:sz w:val="24"/>
                <w:szCs w:val="24"/>
              </w:rPr>
              <m:t>X</m:t>
            </m:r>
          </m:e>
          <m:sub>
            <m:r>
              <w:rPr>
                <w:rFonts w:ascii="David" w:eastAsia="David" w:hAnsi="David" w:cs="David"/>
                <w:sz w:val="24"/>
                <w:szCs w:val="24"/>
              </w:rPr>
              <m:t>n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>.</w:t>
      </w:r>
    </w:p>
    <w:p w14:paraId="0000001E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Let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,…,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>
        <w:rPr>
          <w:rFonts w:ascii="David" w:eastAsia="David" w:hAnsi="David" w:cs="David"/>
          <w:sz w:val="24"/>
          <w:szCs w:val="24"/>
        </w:rPr>
        <w:t xml:space="preserve">be observations from the model such that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~P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X|θ</m:t>
            </m:r>
          </m:e>
        </m:d>
      </m:oMath>
      <w:r>
        <w:rPr>
          <w:rFonts w:ascii="David" w:eastAsia="David" w:hAnsi="David" w:cs="David"/>
          <w:sz w:val="24"/>
          <w:szCs w:val="24"/>
        </w:rPr>
        <w:t xml:space="preserve">. Assuming we have already estimated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e>
        </m:d>
      </m:oMath>
      <w:r>
        <w:rPr>
          <w:rFonts w:ascii="David" w:eastAsia="David" w:hAnsi="David" w:cs="David"/>
          <w:sz w:val="24"/>
          <w:szCs w:val="24"/>
        </w:rPr>
        <w:t xml:space="preserve"> using NPE, we wish to estimate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>
        <w:rPr>
          <w:rFonts w:ascii="David" w:eastAsia="David" w:hAnsi="David" w:cs="David"/>
          <w:sz w:val="24"/>
          <w:szCs w:val="24"/>
        </w:rPr>
        <w:t>.</w:t>
      </w:r>
    </w:p>
    <w:p w14:paraId="0000001F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Using Bayes’ theorem, </w:t>
      </w:r>
    </w:p>
    <w:p w14:paraId="00000020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|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θ)P(θ)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,…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</m:t>
          </m:r>
        </m:oMath>
      </m:oMathPara>
    </w:p>
    <w:p w14:paraId="00000021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Assuming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j</m:t>
            </m:r>
          </m:sub>
        </m:sSub>
      </m:oMath>
      <w:r>
        <w:rPr>
          <w:rFonts w:ascii="David" w:eastAsia="David" w:hAnsi="David" w:cs="David"/>
          <w:sz w:val="24"/>
          <w:szCs w:val="24"/>
        </w:rPr>
        <w:t xml:space="preserve"> are independent after conditioning on </w:t>
      </w:r>
      <m:oMath>
        <m:r>
          <w:rPr>
            <w:rFonts w:ascii="Cambria Math" w:hAnsi="Cambria Math"/>
          </w:rPr>
          <m:t>θ</m:t>
        </m:r>
      </m:oMath>
      <w:r>
        <w:rPr>
          <w:rFonts w:ascii="David" w:eastAsia="David" w:hAnsi="David" w:cs="David"/>
          <w:sz w:val="24"/>
          <w:szCs w:val="24"/>
        </w:rPr>
        <w:t xml:space="preserve">, i.e.,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θ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θ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θ</m:t>
            </m:r>
          </m:e>
        </m:d>
      </m:oMath>
      <w:r>
        <w:rPr>
          <w:rFonts w:ascii="David" w:eastAsia="David" w:hAnsi="David" w:cs="David"/>
          <w:sz w:val="24"/>
          <w:szCs w:val="24"/>
        </w:rPr>
        <w:t>, we have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Π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θ</m:t>
                    </m:r>
                  </m:e>
                </m:d>
              </m:e>
            </m:d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,…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</m:t>
                    </m:r>
                  </m:sub>
                </m:sSub>
              </m:e>
            </m:d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θ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  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e>
        </m:d>
      </m:oMath>
    </w:p>
    <w:p w14:paraId="00000022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Using Bayes’ theorem again:</w:t>
      </w:r>
    </w:p>
    <w:p w14:paraId="00000023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,…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θ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1-n 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3</m:t>
              </m:r>
            </m:e>
          </m:d>
        </m:oMath>
      </m:oMathPara>
    </w:p>
    <w:p w14:paraId="00000024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Next, recalling the law of total probability,</w:t>
      </w:r>
    </w:p>
    <w:p w14:paraId="00000025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=∫P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θ</m:t>
              </m:r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θ</m:t>
              </m:r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dθ</m:t>
          </m:r>
        </m:oMath>
      </m:oMathPara>
    </w:p>
    <w:p w14:paraId="00000026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Using Bayes’ theorem once more,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=∫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,…,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,…,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</m:t>
                    </m:r>
                  </m:sub>
                </m:sSub>
              </m:e>
            </m:d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θ</m:t>
                </m:r>
              </m:e>
            </m:d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θ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 xml:space="preserve"> dθ</m:t>
        </m:r>
      </m:oMath>
    </w:p>
    <w:p w14:paraId="00000027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lastRenderedPageBreak/>
        <w:t xml:space="preserve">As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>
        <w:rPr>
          <w:rFonts w:ascii="David" w:eastAsia="David" w:hAnsi="David" w:cs="David"/>
          <w:sz w:val="24"/>
          <w:szCs w:val="24"/>
        </w:rPr>
        <w:t xml:space="preserve"> is positive and independent of </w:t>
      </w:r>
      <m:oMath>
        <m:r>
          <w:rPr>
            <w:rFonts w:ascii="Cambria Math" w:hAnsi="Cambria Math"/>
          </w:rPr>
          <m:t>θ</m:t>
        </m:r>
      </m:oMath>
      <w:r>
        <w:rPr>
          <w:rFonts w:ascii="David" w:eastAsia="David" w:hAnsi="David" w:cs="David"/>
          <w:sz w:val="24"/>
          <w:szCs w:val="24"/>
        </w:rPr>
        <w:t>, we can take it out of the integral and then cancel it from both sides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,</m:t>
        </m:r>
      </m:oMath>
      <w:r>
        <w:rPr>
          <w:rFonts w:ascii="David" w:eastAsia="David" w:hAnsi="David" w:cs="David"/>
          <w:sz w:val="24"/>
          <w:szCs w:val="24"/>
        </w:rPr>
        <w:t xml:space="preserve"> giving</w:t>
      </w:r>
    </w:p>
    <w:p w14:paraId="00000028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∫P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dθ=1  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4</m:t>
              </m:r>
            </m:e>
          </m:d>
        </m:oMath>
      </m:oMathPara>
    </w:p>
    <w:p w14:paraId="00000029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Using Bayes’ theorem in eq. 4, </w:t>
      </w:r>
    </w:p>
    <w:p w14:paraId="0000002A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∫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,…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θ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1-n 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dθ=1</m:t>
          </m:r>
        </m:oMath>
      </m:oMathPara>
    </w:p>
    <w:p w14:paraId="0000002B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Using commutativity of multiplication,</w:t>
      </w:r>
    </w:p>
    <w:p w14:paraId="0000002C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∫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,…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P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θ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1-n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Π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i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dθ=1  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5</m:t>
              </m:r>
            </m:e>
          </m:d>
        </m:oMath>
      </m:oMathPara>
    </w:p>
    <w:p w14:paraId="0000002D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where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P(θ)</m:t>
        </m:r>
      </m:oMath>
      <w:r>
        <w:rPr>
          <w:rFonts w:ascii="David" w:eastAsia="David" w:hAnsi="David" w:cs="David"/>
          <w:sz w:val="24"/>
          <w:szCs w:val="24"/>
        </w:rPr>
        <w:t xml:space="preserve">, the prior distribution, is known to us (we chose it),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P(θ|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, the indivdual posteriors, are estimated by NPE. Therefore, only the single and collective marginal likelihoods (i.e., ‘evidence’)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P(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 and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P(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,…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 are unknown, yet both are positive and independent of the parameters vector </w:t>
      </w:r>
      <m:oMath>
        <m:r>
          <w:rPr>
            <w:rFonts w:ascii="Cambria Math" w:hAnsi="Cambria Math"/>
          </w:rPr>
          <m:t>θ</m:t>
        </m:r>
      </m:oMath>
      <w:r>
        <w:rPr>
          <w:rFonts w:ascii="David" w:eastAsia="David" w:hAnsi="David" w:cs="David"/>
          <w:sz w:val="24"/>
          <w:szCs w:val="24"/>
        </w:rPr>
        <w:t xml:space="preserve">. We can therefore define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C=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Π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j</m:t>
                    </m:r>
                  </m:sub>
                </m:sSub>
              </m:e>
            </m:d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,…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</m:t>
                    </m:r>
                  </m:sub>
                </m:sSub>
              </m:e>
            </m:d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>
        <w:rPr>
          <w:rFonts w:ascii="David" w:eastAsia="David" w:hAnsi="David" w:cs="David"/>
          <w:sz w:val="24"/>
          <w:szCs w:val="24"/>
        </w:rPr>
        <w:t xml:space="preserve"> and write</w:t>
      </w:r>
    </w:p>
    <w:p w14:paraId="0000002E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∫C⋅P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θ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1-n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Π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i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dθ=1⇒ C=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∫P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θ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1-n</m:t>
                  </m:r>
                </m:sup>
              </m:sSup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dθ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6</m:t>
              </m:r>
            </m:e>
          </m:d>
        </m:oMath>
      </m:oMathPara>
    </w:p>
    <w:p w14:paraId="0000002F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Thus, plugging C in eq. 3 (and changing the symbol for the integration variable) will result in the collective posterior,</w:t>
      </w:r>
    </w:p>
    <w:p w14:paraId="00000030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P</m:t>
          </m:r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θ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1-n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∫P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ζ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1-n</m:t>
                  </m:r>
                </m:sup>
              </m:sSup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dζ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(7)</m:t>
          </m:r>
        </m:oMath>
      </m:oMathPara>
    </w:p>
    <w:p w14:paraId="00000031" w14:textId="77777777" w:rsidR="006C23E9" w:rsidRDefault="00000000">
      <w:pPr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However, as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e>
        </m:d>
      </m:oMath>
      <w:r>
        <w:rPr>
          <w:rFonts w:ascii="David" w:eastAsia="David" w:hAnsi="David" w:cs="David"/>
          <w:sz w:val="24"/>
          <w:szCs w:val="24"/>
        </w:rPr>
        <w:t xml:space="preserve"> could be infinitesimal, a single idiosyncratic observation could potentially reject a parameter value with a high probability for the other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n-1</m:t>
        </m:r>
      </m:oMath>
      <w:r>
        <w:rPr>
          <w:rFonts w:ascii="David" w:eastAsia="David" w:hAnsi="David" w:cs="David"/>
          <w:sz w:val="24"/>
          <w:szCs w:val="24"/>
        </w:rPr>
        <w:t xml:space="preserve"> observations. We want the collective posterior to be robust to such unrepresentative or idiosyncratic observations. Therefore, we define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ϵ</m:t>
            </m:r>
          </m:sub>
        </m:sSub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 max⁡(ϵ,P</m:t>
        </m:r>
        <m:d>
          <m:d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)</m:t>
        </m:r>
      </m:oMath>
      <w:r>
        <w:rPr>
          <w:rFonts w:ascii="David" w:eastAsia="David" w:hAnsi="David" w:cs="David"/>
          <w:sz w:val="24"/>
          <w:szCs w:val="24"/>
        </w:rPr>
        <w:t xml:space="preserve"> so that individual posteriors give at least a value of </w:t>
      </w:r>
      <m:oMath>
        <m:r>
          <w:rPr>
            <w:rFonts w:ascii="Cambria Math" w:hAnsi="Cambria Math"/>
          </w:rPr>
          <m:t>ϵ</m:t>
        </m:r>
      </m:oMath>
      <w:r>
        <w:rPr>
          <w:rFonts w:ascii="David" w:eastAsia="David" w:hAnsi="David" w:cs="David"/>
          <w:sz w:val="24"/>
          <w:szCs w:val="24"/>
        </w:rPr>
        <w:t xml:space="preserve"> to all parameter values. Thus, the collective posterior is</w:t>
      </w:r>
    </w:p>
    <w:p w14:paraId="00000032" w14:textId="77777777" w:rsidR="006C23E9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ϵ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P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θ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1-n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ϵ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∫P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ζ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1-n</m:t>
                  </m:r>
                </m:sup>
              </m:sSup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i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ϵ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dζ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(8)</m:t>
          </m:r>
        </m:oMath>
      </m:oMathPara>
    </w:p>
    <w:p w14:paraId="00000033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For a good choice of </w:t>
      </w:r>
      <m:oMath>
        <m:r>
          <w:rPr>
            <w:rFonts w:ascii="Cambria Math" w:hAnsi="Cambria Math"/>
          </w:rPr>
          <m:t>ϵ</m:t>
        </m:r>
      </m:oMath>
      <w:r>
        <w:rPr>
          <w:rFonts w:ascii="David" w:eastAsia="David" w:hAnsi="David" w:cs="David"/>
          <w:sz w:val="24"/>
          <w:szCs w:val="24"/>
        </w:rPr>
        <w:t xml:space="preserve">, the mode of the collective posterior distribution should reflect a value with high posterior density for multiple observations, rather than a value that no observation completely rejects (which can occur when the </w:t>
      </w:r>
      <m:oMath>
        <m:r>
          <w:rPr>
            <w:rFonts w:ascii="Cambria Math" w:hAnsi="Cambria Math"/>
          </w:rPr>
          <m:t>ϵ</m:t>
        </m:r>
      </m:oMath>
      <w:r>
        <w:rPr>
          <w:rFonts w:ascii="David" w:eastAsia="David" w:hAnsi="David" w:cs="David"/>
          <w:sz w:val="24"/>
          <w:szCs w:val="24"/>
        </w:rPr>
        <w:t xml:space="preserve"> correction is not applied).</w:t>
      </w:r>
    </w:p>
    <w:p w14:paraId="00000034" w14:textId="77777777" w:rsidR="006C23E9" w:rsidRDefault="006C23E9">
      <w:pPr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35" w14:textId="77777777" w:rsidR="006C23E9" w:rsidRDefault="006C23E9">
      <w:pPr>
        <w:spacing w:line="360" w:lineRule="auto"/>
        <w:rPr>
          <w:rFonts w:ascii="David" w:eastAsia="David" w:hAnsi="David" w:cs="David"/>
          <w:b/>
        </w:rPr>
      </w:pPr>
    </w:p>
    <w:p w14:paraId="7EA46EF8" w14:textId="77777777" w:rsidR="00AA0E33" w:rsidRDefault="00AA0E33">
      <w:pPr>
        <w:spacing w:line="360" w:lineRule="auto"/>
        <w:rPr>
          <w:rFonts w:ascii="David" w:eastAsia="David" w:hAnsi="David" w:cs="David"/>
          <w:b/>
        </w:rPr>
      </w:pPr>
    </w:p>
    <w:p w14:paraId="00000036" w14:textId="71B66DEF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</w:rPr>
        <w:lastRenderedPageBreak/>
        <w:t>Genetic diversity</w:t>
      </w:r>
    </w:p>
    <w:p w14:paraId="00000037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We want to estimate the CNV diversity of the population, and specifically, the probability to draw two consecutive cells with identical CNVs from a chemostat, given the collective MAP estimations for the four different genetic backgrounds (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≤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-4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0.1≤s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≤0.2</m:t>
        </m:r>
      </m:oMath>
      <w:r>
        <w:rPr>
          <w:rFonts w:ascii="David" w:eastAsia="David" w:hAnsi="David" w:cs="David"/>
          <w:sz w:val="24"/>
          <w:szCs w:val="24"/>
        </w:rPr>
        <w:t xml:space="preserve">). </w:t>
      </w:r>
    </w:p>
    <w:p w14:paraId="00000038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We assume that each newly formed CNV is different in its specific genotype from all CNV formed before it. Thus, </w:t>
      </w:r>
      <w:r>
        <w:rPr>
          <w:rFonts w:ascii="David" w:eastAsia="David" w:hAnsi="David" w:cs="David"/>
          <w:i/>
          <w:sz w:val="24"/>
          <w:szCs w:val="24"/>
        </w:rPr>
        <w:t>Q(t)</w:t>
      </w:r>
      <w:r>
        <w:rPr>
          <w:rFonts w:ascii="David" w:eastAsia="David" w:hAnsi="David" w:cs="David"/>
          <w:sz w:val="24"/>
          <w:szCs w:val="24"/>
        </w:rPr>
        <w:t xml:space="preserve"> is the number of new CNV cells at generation </w:t>
      </w:r>
      <w:r>
        <w:rPr>
          <w:rFonts w:ascii="David" w:eastAsia="David" w:hAnsi="David" w:cs="David"/>
          <w:i/>
          <w:sz w:val="24"/>
          <w:szCs w:val="24"/>
        </w:rPr>
        <w:t>t</w:t>
      </w:r>
      <w:r>
        <w:rPr>
          <w:rFonts w:ascii="David" w:eastAsia="David" w:hAnsi="David" w:cs="David"/>
          <w:sz w:val="24"/>
          <w:szCs w:val="24"/>
        </w:rPr>
        <w:t xml:space="preserve">, that is, the number of CNV cells in generation </w:t>
      </w:r>
      <w:r>
        <w:rPr>
          <w:rFonts w:ascii="David" w:eastAsia="David" w:hAnsi="David" w:cs="David"/>
          <w:i/>
          <w:sz w:val="24"/>
          <w:szCs w:val="24"/>
        </w:rPr>
        <w:t xml:space="preserve">t </w:t>
      </w:r>
      <w:r>
        <w:rPr>
          <w:rFonts w:ascii="David" w:eastAsia="David" w:hAnsi="David" w:cs="David"/>
          <w:sz w:val="24"/>
          <w:szCs w:val="24"/>
        </w:rPr>
        <w:t xml:space="preserve">that have a non-CNV parent cell in generation </w:t>
      </w:r>
      <w:r>
        <w:rPr>
          <w:rFonts w:ascii="David" w:eastAsia="David" w:hAnsi="David" w:cs="David"/>
          <w:i/>
          <w:sz w:val="24"/>
          <w:szCs w:val="24"/>
        </w:rPr>
        <w:t>t-1</w:t>
      </w:r>
      <w:r>
        <w:rPr>
          <w:rFonts w:ascii="David" w:eastAsia="David" w:hAnsi="David" w:cs="David"/>
          <w:sz w:val="24"/>
          <w:szCs w:val="24"/>
        </w:rPr>
        <w:t xml:space="preserve">. </w:t>
      </w:r>
      <w:r>
        <w:rPr>
          <w:rFonts w:ascii="David" w:eastAsia="David" w:hAnsi="David" w:cs="David"/>
          <w:i/>
          <w:sz w:val="24"/>
          <w:szCs w:val="24"/>
        </w:rPr>
        <w:t>P(t)</w:t>
      </w:r>
      <w:r>
        <w:rPr>
          <w:rFonts w:ascii="David" w:eastAsia="David" w:hAnsi="David" w:cs="David"/>
          <w:sz w:val="24"/>
          <w:szCs w:val="24"/>
        </w:rPr>
        <w:t xml:space="preserve"> is the number of cells in the last generation </w:t>
      </w:r>
      <w:r>
        <w:rPr>
          <w:rFonts w:ascii="David" w:eastAsia="David" w:hAnsi="David" w:cs="David"/>
          <w:i/>
          <w:sz w:val="24"/>
          <w:szCs w:val="24"/>
        </w:rPr>
        <w:t>T</w:t>
      </w:r>
      <w:r>
        <w:rPr>
          <w:rFonts w:ascii="David" w:eastAsia="David" w:hAnsi="David" w:cs="David"/>
          <w:sz w:val="24"/>
          <w:szCs w:val="24"/>
        </w:rPr>
        <w:t xml:space="preserve"> that are descendants of a new CNV cell from generation </w:t>
      </w:r>
      <w:proofErr w:type="spellStart"/>
      <w:r>
        <w:rPr>
          <w:rFonts w:ascii="David" w:eastAsia="David" w:hAnsi="David" w:cs="David"/>
          <w:i/>
          <w:sz w:val="24"/>
          <w:szCs w:val="24"/>
        </w:rPr>
        <w:t>t</w:t>
      </w:r>
      <w:proofErr w:type="spellEnd"/>
      <w:r>
        <w:rPr>
          <w:rFonts w:ascii="David" w:eastAsia="David" w:hAnsi="David" w:cs="David"/>
          <w:sz w:val="24"/>
          <w:szCs w:val="24"/>
        </w:rPr>
        <w:t xml:space="preserve"> (i.e., that had a non-CNV parent in generation </w:t>
      </w:r>
      <w:r>
        <w:rPr>
          <w:rFonts w:ascii="David" w:eastAsia="David" w:hAnsi="David" w:cs="David"/>
          <w:i/>
          <w:sz w:val="24"/>
          <w:szCs w:val="24"/>
        </w:rPr>
        <w:t>t-1</w:t>
      </w:r>
      <w:r>
        <w:rPr>
          <w:rFonts w:ascii="David" w:eastAsia="David" w:hAnsi="David" w:cs="David"/>
          <w:sz w:val="24"/>
          <w:szCs w:val="24"/>
        </w:rPr>
        <w:t xml:space="preserve">). To compute Q(t) and P(t) given the results of an evolutionary simulation,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+</m:t>
                </m:r>
              </m:sup>
            </m:sSup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 xml:space="preserve">, and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-</m:t>
                </m:r>
              </m:sup>
            </m:sSup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sz w:val="24"/>
          <w:szCs w:val="24"/>
        </w:rPr>
        <w:t>:</w:t>
      </w:r>
    </w:p>
    <w:p w14:paraId="00000039" w14:textId="77777777" w:rsidR="006C23E9" w:rsidRDefault="00000000">
      <w:pPr>
        <w:rPr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At each generation</w:t>
      </w:r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t=1,…,T</m:t>
        </m:r>
      </m:oMath>
      <w:r>
        <w:rPr>
          <w:sz w:val="24"/>
          <w:szCs w:val="24"/>
        </w:rPr>
        <w:t>:</w:t>
      </w:r>
    </w:p>
    <w:p w14:paraId="0000003A" w14:textId="77777777" w:rsidR="006C23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</w:rPr>
        <w:t xml:space="preserve">Formation of new CNVs: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Q(t)=P(t)=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C</m:t>
            </m:r>
          </m:sub>
        </m:sSub>
        <m:sSubSup>
          <m:sSub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sup>
        </m:sSubSup>
      </m:oMath>
      <w:r>
        <w:rPr>
          <w:rFonts w:ascii="David" w:eastAsia="David" w:hAnsi="David" w:cs="David"/>
          <w:color w:val="000000"/>
          <w:sz w:val="24"/>
          <w:szCs w:val="24"/>
        </w:rPr>
        <w:t xml:space="preserve"> </w:t>
      </w:r>
    </w:p>
    <w:p w14:paraId="0000003B" w14:textId="77777777" w:rsidR="006C23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</w:rPr>
        <w:t xml:space="preserve">Computation of mean fitness at generation </w:t>
      </w:r>
      <w:r>
        <w:rPr>
          <w:rFonts w:ascii="David" w:eastAsia="David" w:hAnsi="David" w:cs="David"/>
          <w:i/>
          <w:color w:val="000000"/>
          <w:sz w:val="24"/>
          <w:szCs w:val="24"/>
        </w:rPr>
        <w:t>t</w:t>
      </w:r>
      <w:r>
        <w:rPr>
          <w:rFonts w:ascii="David" w:eastAsia="David" w:hAnsi="David" w:cs="David"/>
          <w:color w:val="000000"/>
          <w:sz w:val="24"/>
          <w:szCs w:val="24"/>
        </w:rPr>
        <w:t>:</w:t>
      </w:r>
      <w:r>
        <w:rPr>
          <w:rFonts w:ascii="Cambria Math" w:eastAsia="Cambria Math" w:hAnsi="Cambria Math" w:cs="Cambria Math"/>
          <w:i/>
          <w:color w:val="000000"/>
          <w:sz w:val="24"/>
          <w:szCs w:val="24"/>
        </w:rPr>
        <w:t xml:space="preserve"> </w:t>
      </w:r>
      <m:oMath>
        <m:bar>
          <m:bar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w</m:t>
            </m:r>
          </m:e>
        </m:ba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nary>
              <m:naryPr>
                <m:chr m:val="∑"/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i∈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A,B,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</m:d>
              </m:sub>
              <m:sup/>
              <m:e/>
            </m:nary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i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sup>
        </m:sSup>
      </m:oMath>
      <w:r>
        <w:rPr>
          <w:rFonts w:ascii="David" w:eastAsia="David" w:hAnsi="David" w:cs="David"/>
          <w:color w:val="000000"/>
          <w:sz w:val="24"/>
          <w:szCs w:val="24"/>
        </w:rPr>
        <w:t xml:space="preserve"> </w:t>
      </w:r>
    </w:p>
    <w:p w14:paraId="0000003C" w14:textId="77777777" w:rsidR="006C23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</w:rPr>
        <w:t xml:space="preserve">For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k=1,…,t</m:t>
        </m:r>
      </m:oMath>
      <w:r>
        <w:rPr>
          <w:rFonts w:ascii="David" w:eastAsia="David" w:hAnsi="David" w:cs="David"/>
          <w:color w:val="000000"/>
          <w:sz w:val="24"/>
          <w:szCs w:val="24"/>
        </w:rPr>
        <w:t>:</w:t>
      </w:r>
    </w:p>
    <w:p w14:paraId="0000003D" w14:textId="77777777" w:rsidR="006C23E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</w:rPr>
        <w:t xml:space="preserve">Application of natural selection: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P(k)=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c</m:t>
                </m:r>
              </m:sub>
            </m:sSub>
          </m:num>
          <m:den>
            <m:bar>
              <m:bar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w</m:t>
                </m:r>
              </m:e>
            </m:bar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(t)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P(k)</m:t>
        </m:r>
      </m:oMath>
      <w:r>
        <w:rPr>
          <w:rFonts w:ascii="David" w:eastAsia="David" w:hAnsi="David" w:cs="David"/>
          <w:color w:val="000000"/>
          <w:sz w:val="24"/>
          <w:szCs w:val="24"/>
        </w:rPr>
        <w:t xml:space="preserve"> </w:t>
      </w:r>
    </w:p>
    <w:p w14:paraId="0000003E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Next, we define p(t) as the probability that two randomly chosen cells in the last generation are both descendants of CNV cells that were formed in generation </w:t>
      </w:r>
      <w:r>
        <w:rPr>
          <w:rFonts w:ascii="David" w:eastAsia="David" w:hAnsi="David" w:cs="David"/>
          <w:i/>
          <w:sz w:val="24"/>
          <w:szCs w:val="24"/>
        </w:rPr>
        <w:t>t</w:t>
      </w:r>
      <w:r>
        <w:rPr>
          <w:rFonts w:ascii="David" w:eastAsia="David" w:hAnsi="David" w:cs="David"/>
          <w:sz w:val="24"/>
          <w:szCs w:val="24"/>
        </w:rPr>
        <w:t xml:space="preserve"> (i.e., have a non-CNV parent in generation </w:t>
      </w:r>
      <w:r>
        <w:rPr>
          <w:rFonts w:ascii="David" w:eastAsia="David" w:hAnsi="David" w:cs="David"/>
          <w:i/>
          <w:sz w:val="24"/>
          <w:szCs w:val="24"/>
        </w:rPr>
        <w:t>t-1</w:t>
      </w:r>
      <w:r>
        <w:rPr>
          <w:rFonts w:ascii="David" w:eastAsia="David" w:hAnsi="David" w:cs="David"/>
          <w:sz w:val="24"/>
          <w:szCs w:val="24"/>
        </w:rPr>
        <w:t xml:space="preserve">). We also define </w:t>
      </w:r>
      <w:r>
        <w:rPr>
          <w:rFonts w:ascii="David" w:eastAsia="David" w:hAnsi="David" w:cs="David"/>
          <w:i/>
          <w:sz w:val="24"/>
          <w:szCs w:val="24"/>
        </w:rPr>
        <w:t>q(t)</w:t>
      </w:r>
      <w:r>
        <w:rPr>
          <w:rFonts w:ascii="David" w:eastAsia="David" w:hAnsi="David" w:cs="David"/>
          <w:sz w:val="24"/>
          <w:szCs w:val="24"/>
        </w:rPr>
        <w:t xml:space="preserve"> as the probability that two randomly chosen cells in the last generation that are both descendants of CNV cells formed in generation </w:t>
      </w:r>
      <w:r>
        <w:rPr>
          <w:rFonts w:ascii="David" w:eastAsia="David" w:hAnsi="David" w:cs="David"/>
          <w:i/>
          <w:sz w:val="24"/>
          <w:szCs w:val="24"/>
        </w:rPr>
        <w:t>t</w:t>
      </w:r>
      <w:r>
        <w:rPr>
          <w:rFonts w:ascii="David" w:eastAsia="David" w:hAnsi="David" w:cs="David"/>
          <w:sz w:val="24"/>
          <w:szCs w:val="24"/>
        </w:rPr>
        <w:t xml:space="preserve"> are </w:t>
      </w:r>
      <w:proofErr w:type="gramStart"/>
      <w:r>
        <w:rPr>
          <w:rFonts w:ascii="David" w:eastAsia="David" w:hAnsi="David" w:cs="David"/>
          <w:sz w:val="24"/>
          <w:szCs w:val="24"/>
        </w:rPr>
        <w:t>actually descended</w:t>
      </w:r>
      <w:proofErr w:type="gramEnd"/>
      <w:r>
        <w:rPr>
          <w:rFonts w:ascii="David" w:eastAsia="David" w:hAnsi="David" w:cs="David"/>
          <w:sz w:val="24"/>
          <w:szCs w:val="24"/>
        </w:rPr>
        <w:t xml:space="preserve"> from the same cell.  To compute p(t) and q(t):</w:t>
      </w:r>
    </w:p>
    <w:p w14:paraId="0000003F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For each generation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t=1,…,T</m:t>
        </m:r>
      </m:oMath>
      <w:r>
        <w:rPr>
          <w:rFonts w:ascii="David" w:eastAsia="David" w:hAnsi="David" w:cs="David"/>
          <w:sz w:val="24"/>
          <w:szCs w:val="24"/>
        </w:rPr>
        <w:t xml:space="preserve">: </w:t>
      </w:r>
    </w:p>
    <w:p w14:paraId="00000040" w14:textId="77777777" w:rsidR="006C23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8"/>
          <w:szCs w:val="28"/>
        </w:rPr>
      </w:pPr>
      <m:oMath>
        <m:r>
          <w:rPr>
            <w:rFonts w:ascii="Cambria Math" w:eastAsia="Cambria Math" w:hAnsi="Cambria Math" w:cs="Cambria Math"/>
            <w:color w:val="000000"/>
            <w:sz w:val="20"/>
            <w:szCs w:val="20"/>
          </w:rPr>
          <m:t>p(t)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P(t)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t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P(t)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⋅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P(t)-1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t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P(t)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≈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P(t)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P(t)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</w:p>
    <w:p w14:paraId="00000041" w14:textId="77777777" w:rsidR="006C23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avid" w:eastAsia="David" w:hAnsi="David" w:cs="David"/>
          <w:color w:val="000000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/>
            <w:sz w:val="20"/>
            <w:szCs w:val="20"/>
          </w:rPr>
          <m:t>q(t)≈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Q(t)</m:t>
            </m:r>
          </m:den>
        </m:f>
      </m:oMath>
    </w:p>
    <w:p w14:paraId="00000042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Then, we compute S, the probability to draw two cells from the last generation that have the same CNV:</w:t>
      </w:r>
    </w:p>
    <w:p w14:paraId="00000043" w14:textId="77777777" w:rsidR="006C23E9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0"/>
              <w:szCs w:val="20"/>
            </w:rPr>
            <m:t>S=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  <w:color w:val="000000"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color w:val="000000"/>
                  <w:sz w:val="20"/>
                  <w:szCs w:val="20"/>
                </w:rPr>
                <m:t>t=1</m:t>
              </m:r>
            </m:sub>
            <m:sup>
              <m:r>
                <w:rPr>
                  <w:rFonts w:ascii="Cambria Math" w:eastAsia="Cambria Math" w:hAnsi="Cambria Math" w:cs="Cambria Math"/>
                  <w:color w:val="000000"/>
                  <w:sz w:val="20"/>
                  <w:szCs w:val="20"/>
                </w:rPr>
                <m:t>T</m:t>
              </m:r>
            </m:sup>
            <m:e/>
          </m:nary>
          <m:r>
            <w:rPr>
              <w:rFonts w:ascii="Cambria Math" w:eastAsia="Cambria Math" w:hAnsi="Cambria Math" w:cs="Cambria Math"/>
              <w:color w:val="000000"/>
              <w:sz w:val="20"/>
              <w:szCs w:val="20"/>
            </w:rPr>
            <m:t>p(t)⋅q(t)≈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0"/>
                  <w:szCs w:val="20"/>
                </w:rPr>
              </m:ctrlPr>
            </m:fPr>
            <m:num>
              <m:nary>
                <m:naryPr>
                  <m:chr m:val="∑"/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t=1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T</m:t>
                  </m:r>
                </m:sup>
                <m:e/>
              </m:nary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P(t)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Q(t)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dPr>
                    <m:e>
                      <m:nary>
                        <m:naryPr>
                          <m:chr m:val="∑"/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</w:rPr>
                            <m:t>t=1</m:t>
                          </m:r>
                        </m:sub>
                        <m:sup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</w:rPr>
                            <m:t>T</m:t>
                          </m:r>
                        </m:sup>
                        <m:e/>
                      </m:nary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P(t)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2</m:t>
                  </m:r>
                </m:sup>
              </m:sSup>
            </m:den>
          </m:f>
        </m:oMath>
      </m:oMathPara>
    </w:p>
    <w:p w14:paraId="00000044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Note that the denominator has the square of the total number of CNVs generated over the entire simulation or experiment.</w:t>
      </w:r>
    </w:p>
    <w:p w14:paraId="00000045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We compute the CNV diversity as follows: </w:t>
      </w:r>
    </w:p>
    <w:p w14:paraId="00000046" w14:textId="77777777" w:rsidR="006C23E9" w:rsidRDefault="00000000">
      <w:pPr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lastRenderedPageBreak/>
        <w:t xml:space="preserve">In generation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t</m:t>
        </m:r>
      </m:oMath>
      <w:r>
        <w:rPr>
          <w:rFonts w:ascii="David" w:eastAsia="David" w:hAnsi="David" w:cs="David"/>
          <w:sz w:val="24"/>
          <w:szCs w:val="24"/>
        </w:rPr>
        <w:t xml:space="preserve">,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Q(t)</m:t>
        </m:r>
      </m:oMath>
      <w:r>
        <w:rPr>
          <w:rFonts w:ascii="David" w:eastAsia="David" w:hAnsi="David" w:cs="David"/>
          <w:sz w:val="24"/>
          <w:szCs w:val="24"/>
        </w:rPr>
        <w:t xml:space="preserve"> lineages of size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t</m:t>
                </m:r>
              </m:e>
            </m:d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Q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t</m:t>
                </m:r>
              </m:e>
            </m:d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>
        <w:rPr>
          <w:rFonts w:ascii="David" w:eastAsia="David" w:hAnsi="David" w:cs="David"/>
          <w:sz w:val="24"/>
          <w:szCs w:val="24"/>
        </w:rPr>
        <w:t xml:space="preserve">have formed, resulting in a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P(t)</m:t>
        </m:r>
      </m:oMath>
      <w:r>
        <w:rPr>
          <w:rFonts w:ascii="David" w:eastAsia="David" w:hAnsi="David" w:cs="David"/>
          <w:sz w:val="24"/>
          <w:szCs w:val="24"/>
        </w:rPr>
        <w:t xml:space="preserve"> CNV cells in generation </w:t>
      </w:r>
      <w:r>
        <w:rPr>
          <w:rFonts w:ascii="David" w:eastAsia="David" w:hAnsi="David" w:cs="David"/>
          <w:i/>
          <w:sz w:val="24"/>
          <w:szCs w:val="24"/>
        </w:rPr>
        <w:t>T</w:t>
      </w:r>
      <w:r>
        <w:rPr>
          <w:rFonts w:ascii="David" w:eastAsia="David" w:hAnsi="David" w:cs="David"/>
          <w:sz w:val="24"/>
          <w:szCs w:val="24"/>
        </w:rPr>
        <w:t xml:space="preserve">. </w:t>
      </w:r>
      <w:r w:rsidRPr="00AA0E33">
        <w:rPr>
          <w:rFonts w:ascii="David" w:eastAsia="David" w:hAnsi="David" w:cs="David" w:hint="cs"/>
          <w:sz w:val="24"/>
          <w:szCs w:val="24"/>
        </w:rPr>
        <w:t xml:space="preserve">The Shannon diversity index, given by </w:t>
      </w:r>
      <m:oMath>
        <m:sSubSup>
          <m:sSubSupPr>
            <m:ctrlPr>
              <w:rPr>
                <w:rFonts w:ascii="Cambria Math" w:eastAsia="Cambria Math" w:hAnsi="Cambria Math" w:cs="David" w:hint="cs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-Σ</m:t>
            </m:r>
          </m:e>
          <m:sub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s</m:t>
            </m:r>
          </m:sup>
        </m:sSubSup>
        <m:sSub>
          <m:sSubPr>
            <m:ctrlPr>
              <w:rPr>
                <w:rFonts w:ascii="Cambria Math" w:eastAsia="Cambria Math" w:hAnsi="Cambria Math" w:cs="David" w:hint="cs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[f</m:t>
            </m:r>
          </m:e>
          <m:sub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i</m:t>
            </m:r>
          </m:sub>
        </m:sSub>
        <m:r>
          <w:rPr>
            <w:rFonts w:ascii="Cambria Math" w:eastAsia="Cambria Math" w:hAnsi="Cambria Math" w:cs="David" w:hint="cs"/>
            <w:sz w:val="24"/>
            <w:szCs w:val="24"/>
          </w:rPr>
          <m:t>⋅</m:t>
        </m:r>
        <m:box>
          <m:boxPr>
            <m:opEmu m:val="1"/>
            <m:ctrlPr>
              <w:rPr>
                <w:rFonts w:ascii="Cambria Math" w:eastAsia="Cambria Math" w:hAnsi="Cambria Math" w:cs="David" w:hint="cs"/>
                <w:sz w:val="24"/>
                <w:szCs w:val="24"/>
              </w:rPr>
            </m:ctrlPr>
          </m:boxPr>
          <m:e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log</m:t>
            </m:r>
          </m:e>
        </m:box>
        <m:r>
          <w:rPr>
            <w:rFonts w:ascii="Cambria Math" w:eastAsia="Cambria Math" w:hAnsi="Cambria Math" w:cs="David" w:hint="cs"/>
            <w:sz w:val="24"/>
            <w:szCs w:val="24"/>
          </w:rPr>
          <m:t>log</m:t>
        </m:r>
        <m:r>
          <w:rPr>
            <w:rFonts w:ascii="Cambria Math" w:hAnsi="Cambria Math" w:cs="David" w:hint="cs"/>
          </w:rPr>
          <m:t xml:space="preserve"> </m:t>
        </m:r>
        <m:sSub>
          <m:sSubPr>
            <m:ctrlPr>
              <w:rPr>
                <w:rFonts w:ascii="Cambria Math" w:eastAsia="Cambria Math" w:hAnsi="Cambria Math" w:cs="David" w:hint="cs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 Math" w:hAnsi="Cambria Math" w:cs="David" w:hint="cs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David" w:hint="cs"/>
          </w:rPr>
          <m:t xml:space="preserve"> </m:t>
        </m:r>
        <m:r>
          <w:rPr>
            <w:rFonts w:ascii="Cambria Math" w:eastAsia="Cambria Math" w:hAnsi="Cambria Math" w:cs="David" w:hint="cs"/>
            <w:sz w:val="24"/>
            <w:szCs w:val="24"/>
          </w:rPr>
          <m:t xml:space="preserve"> ]</m:t>
        </m:r>
      </m:oMath>
      <w:r w:rsidRPr="00AA0E33">
        <w:rPr>
          <w:rFonts w:ascii="David" w:eastAsia="David" w:hAnsi="David" w:cs="David" w:hint="cs"/>
          <w:sz w:val="24"/>
          <w:szCs w:val="24"/>
        </w:rPr>
        <w:t xml:space="preserve"> where </w:t>
      </w:r>
      <w:r w:rsidRPr="00AA0E33">
        <w:rPr>
          <w:rFonts w:ascii="David" w:eastAsia="David" w:hAnsi="David" w:cs="David" w:hint="cs"/>
          <w:i/>
          <w:sz w:val="24"/>
          <w:szCs w:val="24"/>
        </w:rPr>
        <w:t>f</w:t>
      </w:r>
      <w:r w:rsidRPr="00AA0E33">
        <w:rPr>
          <w:rFonts w:ascii="David" w:eastAsia="David" w:hAnsi="David" w:cs="David" w:hint="cs"/>
          <w:i/>
          <w:sz w:val="24"/>
          <w:szCs w:val="24"/>
          <w:vertAlign w:val="subscript"/>
        </w:rPr>
        <w:t>i</w:t>
      </w:r>
      <w:r w:rsidRPr="00AA0E33">
        <w:rPr>
          <w:rFonts w:ascii="David" w:eastAsia="David" w:hAnsi="David" w:cs="David" w:hint="cs"/>
          <w:i/>
          <w:sz w:val="24"/>
          <w:szCs w:val="24"/>
        </w:rPr>
        <w:t xml:space="preserve"> </w:t>
      </w:r>
      <w:r w:rsidRPr="00AA0E33">
        <w:rPr>
          <w:rFonts w:ascii="David" w:eastAsia="David" w:hAnsi="David" w:cs="David" w:hint="cs"/>
          <w:sz w:val="24"/>
          <w:szCs w:val="24"/>
        </w:rPr>
        <w:t xml:space="preserve">is the frequency of genotype </w:t>
      </w:r>
      <w:r w:rsidRPr="00AA0E33">
        <w:rPr>
          <w:rFonts w:ascii="David" w:eastAsia="David" w:hAnsi="David" w:cs="David" w:hint="cs"/>
          <w:i/>
          <w:sz w:val="24"/>
          <w:szCs w:val="24"/>
        </w:rPr>
        <w:t>I</w:t>
      </w:r>
      <w:r w:rsidRPr="00AA0E33">
        <w:rPr>
          <w:rFonts w:ascii="David" w:eastAsia="David" w:hAnsi="David" w:cs="David" w:hint="cs"/>
          <w:sz w:val="24"/>
          <w:szCs w:val="24"/>
        </w:rPr>
        <w:t>, (</w:t>
      </w:r>
      <w:proofErr w:type="spellStart"/>
      <w:r w:rsidRPr="00AA0E33">
        <w:rPr>
          <w:rFonts w:ascii="David" w:hAnsi="David" w:cs="David" w:hint="cs"/>
          <w:sz w:val="24"/>
          <w:szCs w:val="24"/>
        </w:rPr>
        <w:t>Jost</w:t>
      </w:r>
      <w:proofErr w:type="spellEnd"/>
      <w:r w:rsidRPr="00AA0E33">
        <w:rPr>
          <w:rFonts w:ascii="David" w:hAnsi="David" w:cs="David" w:hint="cs"/>
          <w:sz w:val="24"/>
          <w:szCs w:val="24"/>
        </w:rPr>
        <w:t xml:space="preserve"> 2006</w:t>
      </w:r>
      <w:r w:rsidRPr="00AA0E33">
        <w:rPr>
          <w:rFonts w:ascii="David" w:eastAsia="David" w:hAnsi="David" w:cs="David" w:hint="cs"/>
          <w:sz w:val="24"/>
          <w:szCs w:val="24"/>
        </w:rPr>
        <w:t>), is therefore</w:t>
      </w:r>
    </w:p>
    <w:p w14:paraId="00000047" w14:textId="77777777" w:rsidR="006C23E9" w:rsidRDefault="00000000">
      <w:pPr>
        <w:spacing w:line="360" w:lineRule="auto"/>
        <w:jc w:val="center"/>
      </w:pPr>
      <w:r>
        <w:rPr>
          <w:rFonts w:ascii="David" w:eastAsia="David" w:hAnsi="David" w:cs="David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-Σ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t=0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Q(t)⋅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f>
                  <m:f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den>
                </m:f>
              </m:num>
              <m:den>
                <m:nary>
                  <m:naryPr>
                    <m:chr m:val="∑"/>
                    <m:ctrlPr>
                      <w:rPr>
                        <w:rFonts w:ascii="Cambria Math" w:eastAsia="Cambria Math" w:hAnsi="Cambria Math" w:cs="Cambria Math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t=1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sup>
                  <m:e/>
                </m:nary>
                <m:r>
                  <w:rPr>
                    <w:rFonts w:ascii="Cambria Math" w:eastAsia="Cambria Math" w:hAnsi="Cambria Math" w:cs="Cambria Math"/>
                  </w:rPr>
                  <m:t>P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e>
                </m:d>
              </m:den>
            </m:f>
            <m:r>
              <w:rPr>
                <w:rFonts w:ascii="Cambria Math" w:eastAsia="Cambria Math" w:hAnsi="Cambria Math" w:cs="Cambria Math"/>
              </w:rPr>
              <m:t>⋅</m:t>
            </m:r>
            <m:box>
              <m:boxPr>
                <m:opEmu m:val="1"/>
                <m:ctrlPr>
                  <w:rPr>
                    <w:rFonts w:ascii="Cambria Math" w:eastAsia="Cambria Math" w:hAnsi="Cambria Math" w:cs="Cambria Math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</w:rPr>
                  <m:t>ln</m:t>
                </m:r>
              </m:e>
            </m:box>
            <m:r>
              <w:rPr>
                <w:rFonts w:ascii="Cambria Math" w:eastAsia="Cambria Math" w:hAnsi="Cambria Math" w:cs="Cambria Math"/>
                <w:sz w:val="24"/>
                <w:szCs w:val="24"/>
              </w:rPr>
              <m:t>ln</m:t>
            </m:r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Q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d>
                      </m:den>
                    </m:f>
                  </m:num>
                  <m:den>
                    <m:nary>
                      <m:naryPr>
                        <m:chr m:val="∑"/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naryPr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t=1</m:t>
                        </m:r>
                      </m:sub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T</m:t>
                        </m:r>
                      </m:sup>
                      <m:e/>
                    </m:nary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</m:t>
                        </m:r>
                      </m:e>
                    </m:d>
                  </m:den>
                </m:f>
              </m:e>
            </m:d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-Σ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t=0</m:t>
            </m:r>
          </m:sub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T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t</m:t>
                    </m:r>
                  </m:e>
                </m:d>
              </m:num>
              <m:den>
                <m:nary>
                  <m:naryPr>
                    <m:chr m:val="∑"/>
                    <m:ctrlPr>
                      <w:rPr>
                        <w:rFonts w:ascii="Cambria Math" w:eastAsia="Cambria Math" w:hAnsi="Cambria Math" w:cs="Cambria Math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t=1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sup>
                  <m:e/>
                </m:nary>
                <m:r>
                  <w:rPr>
                    <w:rFonts w:ascii="Cambria Math" w:eastAsia="Cambria Math" w:hAnsi="Cambria Math" w:cs="Cambria Math"/>
                  </w:rPr>
                  <m:t>P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e>
                </m:d>
              </m:den>
            </m:f>
            <m:r>
              <w:rPr>
                <w:rFonts w:ascii="Cambria Math" w:eastAsia="Cambria Math" w:hAnsi="Cambria Math" w:cs="Cambria Math"/>
              </w:rPr>
              <m:t>⋅</m:t>
            </m:r>
            <m:box>
              <m:boxPr>
                <m:opEmu m:val="1"/>
                <m:ctrlPr>
                  <w:rPr>
                    <w:rFonts w:ascii="Cambria Math" w:eastAsia="Cambria Math" w:hAnsi="Cambria Math" w:cs="Cambria Math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</w:rPr>
                  <m:t>log</m:t>
                </m:r>
              </m:e>
            </m:box>
            <m:r>
              <w:rPr>
                <w:rFonts w:ascii="Cambria Math" w:eastAsia="Cambria Math" w:hAnsi="Cambria Math" w:cs="Cambria Math"/>
                <w:sz w:val="24"/>
                <w:szCs w:val="24"/>
              </w:rPr>
              <m:t>log</m:t>
            </m:r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Q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d>
                      </m:den>
                    </m:f>
                  </m:num>
                  <m:den>
                    <m:nary>
                      <m:naryPr>
                        <m:chr m:val="∑"/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naryPr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t=1</m:t>
                        </m:r>
                      </m:sub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T</m:t>
                        </m:r>
                      </m:sup>
                      <m:e/>
                    </m:nary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</m:t>
                        </m:r>
                      </m:e>
                    </m:d>
                  </m:den>
                </m:f>
              </m:e>
            </m:d>
            <m:r>
              <w:rPr>
                <w:rFonts w:ascii="Cambria Math" w:hAnsi="Cambria Math"/>
              </w:rPr>
              <m:t xml:space="preserve"> </m:t>
            </m:r>
          </m:e>
        </m:d>
      </m:oMath>
    </w:p>
    <w:p w14:paraId="00000048" w14:textId="77777777" w:rsidR="006C23E9" w:rsidRDefault="006C23E9">
      <w:pPr>
        <w:spacing w:line="360" w:lineRule="auto"/>
      </w:pPr>
    </w:p>
    <w:sectPr w:rsidR="006C23E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3B0C7D4-7DB7-AA41-B256-6F97F672FE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C67A74D-8231-8845-9740-642A7B95F2F5}"/>
    <w:embedBold r:id="rId3" w:fontKey="{3FD86698-ADFA-894D-BE7A-4F3CF6E0E0B4}"/>
    <w:embedItalic r:id="rId4" w:fontKey="{E3D002F7-B2AD-2A4A-BB92-890870BF4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1D170A1-137E-3C4D-A9D4-9A1CAA921DD2}"/>
    <w:embedBold r:id="rId6" w:fontKey="{314C8A4E-ADD1-FF46-925D-7E0DB8F812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F1F5612-E7C3-F04E-AE4B-CF6B8DDE1A04}"/>
    <w:embedItalic r:id="rId8" w:fontKey="{54270D9A-BB50-C04D-A585-156A5F0B016D}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  <w:embedRegular r:id="rId9" w:fontKey="{CF4F90F5-8D3E-E342-92D0-AFE5BD52BD08}"/>
    <w:embedBold r:id="rId10" w:fontKey="{9DB31B0A-F777-D349-94C2-082EAE3AA6B3}"/>
    <w:embedItalic r:id="rId11" w:fontKey="{F9807200-B0FD-4244-88F0-8DABCA28B3F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82FFC5CE-C5AD-7344-BD5A-CB572342F2BC}"/>
    <w:embedItalic r:id="rId13" w:fontKey="{DE456599-D5D6-224E-8907-C74C1BD43E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6CE6C38-A45F-9548-9CB7-C8C03F20AB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1040A4"/>
    <w:multiLevelType w:val="multilevel"/>
    <w:tmpl w:val="4D9A72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664ED"/>
    <w:multiLevelType w:val="multilevel"/>
    <w:tmpl w:val="23AE3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5258199">
    <w:abstractNumId w:val="0"/>
  </w:num>
  <w:num w:numId="2" w16cid:durableId="1681472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3E9"/>
    <w:rsid w:val="00640C7E"/>
    <w:rsid w:val="006C23E9"/>
    <w:rsid w:val="00791599"/>
    <w:rsid w:val="00AA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9044B"/>
  <w15:docId w15:val="{0A06F998-7100-E845-8017-0AB3781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5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503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664E8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131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13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13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3D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13DB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cg4iB8lB4Q9l8kfah9sraMJbng==">CgMxLjA4AHIhMS1pNFUwMG5CVERaR3c3bENUSGRrSzZ0YmRSSFFNeEZz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1546</Words>
  <Characters>8815</Characters>
  <Application>Microsoft Office Word</Application>
  <DocSecurity>0</DocSecurity>
  <Lines>73</Lines>
  <Paragraphs>20</Paragraphs>
  <ScaleCrop>false</ScaleCrop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Nadav Ben Nun</dc:creator>
  <cp:lastModifiedBy>Julie Chuong</cp:lastModifiedBy>
  <cp:revision>3</cp:revision>
  <dcterms:created xsi:type="dcterms:W3CDTF">2024-12-14T00:17:00Z</dcterms:created>
  <dcterms:modified xsi:type="dcterms:W3CDTF">2024-12-14T00:23:00Z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2037389</vt:lpwstr>
  </property>
  <property fmtid="{D5CDD505-2E9C-101B-9397-08002B2CF9AE}" pid="3" name="ProjectId">
    <vt:lpwstr>-1</vt:lpwstr>
  </property>
  <property fmtid="{D5CDD505-2E9C-101B-9397-08002B2CF9AE}" pid="4" name="GrammarlyDocumentId">
    <vt:lpwstr>70cbb97b69e64ec9e09b20ced497c5fc10cd18bd30c1e7a02f9d6646f42c2a3f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http://www.zotero.org/styles/immunity</vt:lpwstr>
  </property>
</Properties>
</file>