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022168">
        <w:fldChar w:fldCharType="begin"/>
      </w:r>
      <w:r w:rsidR="00022168">
        <w:instrText xml:space="preserve"> HYPERLINK "http://biosharing.org/" \h </w:instrText>
      </w:r>
      <w:r w:rsidR="0002216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02216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04C2D3D9" w:rsidR="00F102CC" w:rsidRPr="003D5AF6" w:rsidRDefault="00C03FC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3C6D1710" w:rsidR="00F102CC" w:rsidRPr="003D5AF6" w:rsidRDefault="00183E42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183E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resources table</w:t>
            </w:r>
            <w:r w:rsidR="006C162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1015F3BF" w:rsidR="00F102CC" w:rsidRPr="003D5AF6" w:rsidRDefault="00183E42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183E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resources table</w:t>
            </w:r>
            <w:r w:rsidR="006C162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3BA6CE7D" w:rsidR="00F102CC" w:rsidRPr="003D5AF6" w:rsidRDefault="00D978A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aterial</w:t>
            </w:r>
            <w:r w:rsidR="00183E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and </w:t>
            </w:r>
            <w:r w:rsidR="004B6CC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</w:t>
            </w:r>
            <w:r w:rsidR="00183E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ethods</w:t>
            </w:r>
            <w:r w:rsidR="0092465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: Mice and cell lines.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D978AA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D978AA" w:rsidRDefault="00D978AA" w:rsidP="00D978A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Primary cultures: Provide species, strain, sex of origin, genetic modification status.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53B8680D" w:rsidR="00D978AA" w:rsidRPr="003D5AF6" w:rsidRDefault="00D978AA" w:rsidP="00D978A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aterial</w:t>
            </w:r>
            <w:r w:rsidR="00183E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and </w:t>
            </w:r>
            <w:r w:rsidR="004B6CC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</w:t>
            </w:r>
            <w:r w:rsidR="00183E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ethods</w:t>
            </w:r>
            <w:r w:rsidR="0092465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: Ex vivo expansion of murine and human NK cells.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569C04C5" w:rsidR="00D978AA" w:rsidRPr="003D5AF6" w:rsidRDefault="00D978AA" w:rsidP="00D978A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D978AA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D978AA" w:rsidRPr="003D5AF6" w:rsidRDefault="00D978AA" w:rsidP="00D978AA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D978AA" w:rsidRDefault="00D978AA" w:rsidP="00D978AA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D978AA" w:rsidRDefault="00D978AA" w:rsidP="00D978AA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D978AA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D978AA" w:rsidRDefault="00D978AA" w:rsidP="00D978AA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D978AA" w:rsidRDefault="00D978AA" w:rsidP="00D978A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D978AA" w:rsidRDefault="00D978AA" w:rsidP="00D978A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D978AA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D978AA" w:rsidRDefault="00D978AA" w:rsidP="00D978A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1AE903A6" w:rsidR="00D978AA" w:rsidRPr="003D5AF6" w:rsidRDefault="00D978AA" w:rsidP="00D978A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aterial</w:t>
            </w:r>
            <w:r w:rsidR="00183E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and </w:t>
            </w:r>
            <w:r w:rsidR="004B6CC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</w:t>
            </w:r>
            <w:r w:rsidR="00A7220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ethods</w:t>
            </w:r>
            <w:r w:rsidR="0092465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: Mice and cell lines.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D978AA" w:rsidRPr="003D5AF6" w:rsidRDefault="00D978AA" w:rsidP="00D978A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D978AA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D978AA" w:rsidRDefault="00D978AA" w:rsidP="00D978A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D978AA" w:rsidRPr="003D5AF6" w:rsidRDefault="00D978AA" w:rsidP="00D978A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1A496571" w:rsidR="00D978AA" w:rsidRPr="003D5AF6" w:rsidRDefault="00D978AA" w:rsidP="00D978A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D978AA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D978AA" w:rsidRPr="003D5AF6" w:rsidRDefault="00D978AA" w:rsidP="00D978AA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D978AA" w:rsidRDefault="00D978AA" w:rsidP="00D978AA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D978AA" w:rsidRDefault="00D978AA" w:rsidP="00D978AA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D978AA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D978AA" w:rsidRDefault="00D978AA" w:rsidP="00D978AA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D978AA" w:rsidRDefault="00D978AA" w:rsidP="00D978A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D978AA" w:rsidRDefault="00D978AA" w:rsidP="00D978A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D978AA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D978AA" w:rsidRDefault="00D978AA" w:rsidP="00D978A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D978AA" w:rsidRPr="003D5AF6" w:rsidRDefault="00D978AA" w:rsidP="00D978A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3DD6F1A5" w:rsidR="00D978AA" w:rsidRPr="003D5AF6" w:rsidRDefault="00D978AA" w:rsidP="00D978A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D978AA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D978AA" w:rsidRDefault="00D978AA" w:rsidP="00D978A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D978AA" w:rsidRPr="003D5AF6" w:rsidRDefault="00D978AA" w:rsidP="00D978A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A010EB8" w:rsidR="00D978AA" w:rsidRPr="003D5AF6" w:rsidRDefault="00D978AA" w:rsidP="00D978A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D978AA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D978AA" w:rsidRPr="003D5AF6" w:rsidRDefault="00D978AA" w:rsidP="00D978A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D978AA" w:rsidRDefault="00D978AA" w:rsidP="00D978AA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D978AA" w:rsidRDefault="00D978AA" w:rsidP="00D978AA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D978AA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D978AA" w:rsidRDefault="00D978AA" w:rsidP="00D978A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D978AA" w:rsidRDefault="00D978AA" w:rsidP="00D978AA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D978AA" w:rsidRDefault="00D978AA" w:rsidP="00D978A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D978AA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D978AA" w:rsidRDefault="00D978AA" w:rsidP="00D978AA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39E261B6" w:rsidR="00D978AA" w:rsidRPr="003D5AF6" w:rsidRDefault="00924658" w:rsidP="00D978A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Table.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14D5C706" w:rsidR="00D978AA" w:rsidRDefault="00D978AA" w:rsidP="00D978AA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3FE2A0B1" w:rsidR="00F102CC" w:rsidRPr="003D5AF6" w:rsidRDefault="001E5CE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ClinicalTrials.gov i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dentifier: NCT02661685 (</w:t>
            </w:r>
            <w:r w:rsidRPr="00111FF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https://clinicaltrials.gov/study/NCT02661685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4F9DE825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4F7FC58" w:rsidR="00F102CC" w:rsidRPr="003D5AF6" w:rsidRDefault="0090109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aterial</w:t>
            </w:r>
            <w:r w:rsidR="00183E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and </w:t>
            </w:r>
            <w:r w:rsidR="004B6CC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ethods</w:t>
            </w:r>
            <w:r w:rsidR="006C162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6E761FB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1010B32A" w:rsidR="00F102CC" w:rsidRPr="003D5AF6" w:rsidRDefault="007D19B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40CBE0CD" w:rsidR="00F102CC" w:rsidRDefault="0090109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72EF7C8E" w:rsidR="00F102CC" w:rsidRPr="003D5AF6" w:rsidRDefault="0090109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4740ECAE" w:rsidR="00F102CC" w:rsidRPr="003D5AF6" w:rsidRDefault="00111FF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aterials and </w:t>
            </w:r>
            <w:r w:rsidR="004B6CC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ethods: Clinical trial design (ClinicalTrials.gov identifier: NCT02661685 (</w:t>
            </w:r>
            <w:r w:rsidRPr="00111FF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https://clinicaltrials.gov/study/NCT02661685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))</w:t>
            </w:r>
            <w:r w:rsidR="006C162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5FDF7E81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225B5B8A" w:rsidR="00F102CC" w:rsidRPr="003D5AF6" w:rsidRDefault="0090109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</w:t>
            </w:r>
            <w:r w:rsidRPr="00994A24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igure legends where applicable</w:t>
            </w:r>
            <w:r w:rsidR="00111FF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364579B8" w:rsidR="00F102CC" w:rsidRPr="003D5AF6" w:rsidRDefault="0090109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</w:t>
            </w:r>
            <w:r w:rsidRPr="00994A24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igure legends where applicable</w:t>
            </w:r>
            <w:r w:rsidR="00111FF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CA4FB" w14:textId="3193A08C" w:rsidR="00E0744B" w:rsidRDefault="00901092">
            <w:pPr>
              <w:spacing w:line="225" w:lineRule="auto"/>
              <w:rPr>
                <w:rFonts w:ascii="Arial" w:hAnsi="Arial" w:cs="Arial"/>
                <w:bCs/>
                <w:color w:val="434343"/>
                <w:sz w:val="18"/>
                <w:szCs w:val="18"/>
                <w:lang w:eastAsia="zh-TW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aterial</w:t>
            </w:r>
            <w:r w:rsidR="00183E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and </w:t>
            </w:r>
            <w:r w:rsidR="004B6CC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ethods</w:t>
            </w:r>
            <w:r w:rsidR="006C162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: Trial oversight.</w:t>
            </w:r>
            <w:r w:rsidR="006E24DA" w:rsidRPr="00E0744B">
              <w:rPr>
                <w:rFonts w:ascii="Arial" w:hAnsi="Arial" w:cs="Arial"/>
                <w:bCs/>
                <w:color w:val="434343"/>
                <w:sz w:val="18"/>
                <w:szCs w:val="18"/>
                <w:lang w:eastAsia="zh-TW"/>
              </w:rPr>
              <w:t xml:space="preserve"> </w:t>
            </w:r>
          </w:p>
          <w:p w14:paraId="63CB3013" w14:textId="743B7293" w:rsidR="00F102CC" w:rsidRDefault="00E0744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34343"/>
                <w:sz w:val="18"/>
                <w:szCs w:val="18"/>
                <w:lang w:eastAsia="zh-TW"/>
              </w:rPr>
              <w:t>IRB</w:t>
            </w:r>
            <w:bookmarkStart w:id="2" w:name="_GoBack"/>
            <w:bookmarkEnd w:id="2"/>
            <w:r>
              <w:rPr>
                <w:rFonts w:ascii="Arial" w:hAnsi="Arial" w:cs="Arial"/>
                <w:bCs/>
                <w:color w:val="434343"/>
                <w:sz w:val="18"/>
                <w:szCs w:val="18"/>
                <w:lang w:eastAsia="zh-TW"/>
              </w:rPr>
              <w:t xml:space="preserve">: </w:t>
            </w:r>
            <w:r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TW"/>
              </w:rPr>
              <w:t xml:space="preserve">TSGHIRB </w:t>
            </w:r>
            <w:r w:rsidR="006E24DA" w:rsidRPr="00E0744B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TW"/>
              </w:rPr>
              <w:t>1-102-04-001</w:t>
            </w:r>
            <w:r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TW"/>
              </w:rPr>
              <w:t xml:space="preserve">, TSGHIRB </w:t>
            </w:r>
            <w:r w:rsidR="006E24DA" w:rsidRPr="00E0744B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TW"/>
              </w:rPr>
              <w:t>C202005026</w:t>
            </w:r>
            <w:r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TW"/>
              </w:rPr>
              <w:t>,</w:t>
            </w:r>
            <w:r w:rsidR="006E24DA" w:rsidRPr="00E0744B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TW"/>
              </w:rPr>
              <w:t xml:space="preserve"> AS-IRB01-14024</w:t>
            </w:r>
            <w:r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TW"/>
              </w:rPr>
              <w:t>,</w:t>
            </w:r>
            <w:r w:rsidR="006D3E49" w:rsidRPr="00E0744B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TW"/>
              </w:rPr>
              <w:t xml:space="preserve"> AS-IRB01-20014.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762230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781C" w14:textId="41719C8F" w:rsidR="00E0744B" w:rsidRDefault="0090109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aterial</w:t>
            </w:r>
            <w:r w:rsidR="00183E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and </w:t>
            </w:r>
            <w:r w:rsidR="004B6CC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</w:t>
            </w:r>
            <w:r w:rsidR="00183E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ethods</w:t>
            </w:r>
            <w:r w:rsidR="006C162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: Mice and cell lines.</w:t>
            </w:r>
            <w:r w:rsidR="006D3E4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</w:p>
          <w:p w14:paraId="2A6BA9BD" w14:textId="075B7E2D" w:rsidR="00F102CC" w:rsidRPr="003D5AF6" w:rsidRDefault="00E0744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IACUC Protocol</w:t>
            </w:r>
            <w:r w:rsidR="006D3E4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11-09-221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68B57CF3" w:rsidR="00F102CC" w:rsidRPr="003D5AF6" w:rsidRDefault="0090109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25B42DCA" w:rsidR="00F102CC" w:rsidRPr="003D5AF6" w:rsidRDefault="00C03FC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0C4D64E5" w:rsidR="00F102CC" w:rsidRPr="003D5AF6" w:rsidRDefault="00C03FC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48A0BEDE" w:rsidR="00F102CC" w:rsidRPr="003D5AF6" w:rsidRDefault="00C03FC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Materials and </w:t>
            </w:r>
            <w:r w:rsidR="004B6CC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ethods</w:t>
            </w:r>
            <w:r w:rsidR="006C162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: </w:t>
            </w:r>
            <w:r w:rsidR="00111FF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Statistical analysis)</w:t>
            </w:r>
            <w:r w:rsidR="006C162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</w:t>
            </w:r>
            <w:r w:rsidR="00183E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="00111FF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igure legends where applicable</w:t>
            </w:r>
            <w:r w:rsidR="00111FF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64EA81B1" w:rsidR="00F102CC" w:rsidRPr="003D5AF6" w:rsidRDefault="00C03FC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137E4383" w:rsidR="00F102CC" w:rsidRPr="003D5AF6" w:rsidRDefault="00C03FC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6DF0B4C1" w:rsidR="00F102CC" w:rsidRPr="003D5AF6" w:rsidRDefault="00C03FC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46534AD9" w:rsidR="00F102CC" w:rsidRPr="003D5AF6" w:rsidRDefault="00C03FC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73C45217" w:rsidR="00F102CC" w:rsidRPr="003D5AF6" w:rsidRDefault="00183E4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046B2EB1" w:rsidR="00F102CC" w:rsidRPr="003D5AF6" w:rsidRDefault="00C03FC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3" w:name="_qing2gdaj9k6" w:colFirst="0" w:colLast="0"/>
      <w:bookmarkEnd w:id="3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1EEAF732" w:rsidR="00F102CC" w:rsidRPr="003D5AF6" w:rsidRDefault="00C03FC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022168">
      <w:pPr>
        <w:spacing w:before="80"/>
      </w:pPr>
      <w:bookmarkStart w:id="4" w:name="_cm0qssfkw66b" w:colFirst="0" w:colLast="0"/>
      <w:bookmarkEnd w:id="4"/>
      <w:r>
        <w:rPr>
          <w:noProof/>
        </w:rPr>
        <w:pict w14:anchorId="5E7F9325">
          <v:rect id="_x0000_i1025" alt="" style="width:482.5pt;height:.05pt;mso-width-percent:0;mso-height-percent:0;mso-width-percent:0;mso-height-percent:0" o:hralign="center" o:hrstd="t" o:hr="t" fillcolor="#a0a0a0" stroked="f"/>
        </w:pict>
      </w:r>
    </w:p>
    <w:p w14:paraId="7C5EDE35" w14:textId="091B18E3" w:rsidR="00F102CC" w:rsidRDefault="00F102CC" w:rsidP="008E1ACC"/>
    <w:sectPr w:rsidR="00F102CC" w:rsidSect="004E2C31">
      <w:headerReference w:type="default" r:id="rId14"/>
      <w:footerReference w:type="default" r:id="rId15"/>
      <w:headerReference w:type="first" r:id="rId16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0D38D0" w16cex:dateUtc="2024-12-18T04:04:00Z"/>
  <w16cex:commentExtensible w16cex:durableId="2B0D38D7" w16cex:dateUtc="2024-12-18T04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0D29A" w14:textId="77777777" w:rsidR="00022168" w:rsidRDefault="00022168">
      <w:r>
        <w:separator/>
      </w:r>
    </w:p>
  </w:endnote>
  <w:endnote w:type="continuationSeparator" w:id="0">
    <w:p w14:paraId="0672C898" w14:textId="77777777" w:rsidR="00022168" w:rsidRDefault="0002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Mangal"/>
    <w:panose1 w:val="020B0604020202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DCC2F" w14:textId="77777777" w:rsidR="00022168" w:rsidRDefault="00022168">
      <w:r>
        <w:separator/>
      </w:r>
    </w:p>
  </w:footnote>
  <w:footnote w:type="continuationSeparator" w:id="0">
    <w:p w14:paraId="54756120" w14:textId="77777777" w:rsidR="00022168" w:rsidRDefault="00022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22168"/>
    <w:rsid w:val="000B600B"/>
    <w:rsid w:val="00111FF6"/>
    <w:rsid w:val="00183E42"/>
    <w:rsid w:val="001B3BCC"/>
    <w:rsid w:val="001E5CED"/>
    <w:rsid w:val="002209A8"/>
    <w:rsid w:val="00236BF1"/>
    <w:rsid w:val="00240E2D"/>
    <w:rsid w:val="002C6DC0"/>
    <w:rsid w:val="00346D1B"/>
    <w:rsid w:val="003D5AF6"/>
    <w:rsid w:val="00400C53"/>
    <w:rsid w:val="00427975"/>
    <w:rsid w:val="004B6CC2"/>
    <w:rsid w:val="004E2C31"/>
    <w:rsid w:val="005731EE"/>
    <w:rsid w:val="005B0259"/>
    <w:rsid w:val="006C162D"/>
    <w:rsid w:val="006D3E49"/>
    <w:rsid w:val="006E24DA"/>
    <w:rsid w:val="007054B6"/>
    <w:rsid w:val="00752183"/>
    <w:rsid w:val="0078687E"/>
    <w:rsid w:val="007D19B8"/>
    <w:rsid w:val="008A1300"/>
    <w:rsid w:val="008E1ACC"/>
    <w:rsid w:val="008E38E6"/>
    <w:rsid w:val="00901092"/>
    <w:rsid w:val="00924658"/>
    <w:rsid w:val="009C7B26"/>
    <w:rsid w:val="00A11E52"/>
    <w:rsid w:val="00A7220C"/>
    <w:rsid w:val="00AE1086"/>
    <w:rsid w:val="00B03201"/>
    <w:rsid w:val="00B2483D"/>
    <w:rsid w:val="00BD41E9"/>
    <w:rsid w:val="00C03FC5"/>
    <w:rsid w:val="00C84413"/>
    <w:rsid w:val="00D978AA"/>
    <w:rsid w:val="00E0744B"/>
    <w:rsid w:val="00F102CC"/>
    <w:rsid w:val="00F426A8"/>
    <w:rsid w:val="00F91042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  <w:style w:type="paragraph" w:styleId="BalloonText">
    <w:name w:val="Balloon Text"/>
    <w:basedOn w:val="Normal"/>
    <w:link w:val="BalloonTextChar"/>
    <w:uiPriority w:val="99"/>
    <w:semiHidden/>
    <w:unhideWhenUsed/>
    <w:rsid w:val="00A722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20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1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6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6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6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38/d41586-020-0175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 Lai</dc:creator>
  <cp:lastModifiedBy>Microsoft Office User</cp:lastModifiedBy>
  <cp:revision>6</cp:revision>
  <dcterms:created xsi:type="dcterms:W3CDTF">2024-12-18T04:05:00Z</dcterms:created>
  <dcterms:modified xsi:type="dcterms:W3CDTF">2024-12-19T05:21:00Z</dcterms:modified>
</cp:coreProperties>
</file>