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3A04BEC4" w:rsidR="00F102CC" w:rsidRPr="003D5AF6" w:rsidRDefault="001E4396" w:rsidP="001E4396">
            <w:pPr>
              <w:rPr>
                <w:rFonts w:ascii="Noto Sans" w:eastAsia="Noto Sans" w:hAnsi="Noto Sans" w:cs="Noto Sans"/>
                <w:bCs/>
                <w:color w:val="434343"/>
                <w:sz w:val="18"/>
                <w:szCs w:val="18"/>
              </w:rPr>
            </w:pPr>
            <w:r w:rsidRPr="001E4396">
              <w:rPr>
                <w:rFonts w:ascii="Noto Sans" w:eastAsia="Noto Sans" w:hAnsi="Noto Sans" w:cs="Noto Sans"/>
                <w:bCs/>
                <w:color w:val="434343"/>
                <w:sz w:val="18"/>
                <w:szCs w:val="18"/>
              </w:rPr>
              <w:t>The TnSeq sequencing datasets are openly available in the DDBJ Sequence Read Archive database with the primary accession numbers DRA017301. The authors confirm that the data supporting the findings of this study other than the TnSeq sequencing datasets are available within the article.</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1D06481F" w:rsidR="00F102CC" w:rsidRPr="003D5AF6" w:rsidRDefault="001E4396">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17F538A8" w:rsidR="00F102CC" w:rsidRPr="003D5AF6" w:rsidRDefault="001E4396" w:rsidP="001E4396">
            <w:pPr>
              <w:rPr>
                <w:rFonts w:ascii="Noto Sans" w:eastAsia="Noto Sans" w:hAnsi="Noto Sans" w:cs="Noto Sans"/>
                <w:bCs/>
                <w:color w:val="434343"/>
                <w:sz w:val="18"/>
                <w:szCs w:val="18"/>
              </w:rPr>
            </w:pPr>
            <w:r w:rsidRPr="001E4396">
              <w:rPr>
                <w:rFonts w:ascii="Noto Sans" w:eastAsia="Noto Sans" w:hAnsi="Noto Sans" w:cs="Noto Sans"/>
                <w:bCs/>
                <w:color w:val="434343"/>
                <w:sz w:val="18"/>
                <w:szCs w:val="18"/>
              </w:rPr>
              <w:t>The TnSeq sequencing datasets are openly available in the DDBJ Sequence Read Archive database with the primary accession numbers DRA017301.</w:t>
            </w:r>
            <w:r>
              <w:rPr>
                <w:rFonts w:ascii="Noto Sans" w:eastAsia="Noto Sans" w:hAnsi="Noto Sans" w:cs="Noto Sans"/>
                <w:bCs/>
                <w:color w:val="434343"/>
                <w:sz w:val="18"/>
                <w:szCs w:val="18"/>
              </w:rPr>
              <w:t xml:space="preserve"> </w:t>
            </w:r>
            <w:r w:rsidRPr="001E4396">
              <w:rPr>
                <w:rFonts w:ascii="Noto Sans" w:eastAsia="Noto Sans" w:hAnsi="Noto Sans" w:cs="Noto Sans"/>
                <w:bCs/>
                <w:color w:val="434343"/>
                <w:sz w:val="18"/>
                <w:szCs w:val="18"/>
              </w:rPr>
              <w:t>The list of primers are shown in Supplementary File 20.</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716D5F51" w:rsidR="00F102CC" w:rsidRPr="003D5AF6" w:rsidRDefault="001E4396">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46C67394" w:rsidR="00F102CC" w:rsidRPr="003D5AF6" w:rsidRDefault="001E4396">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D0B23E1" w:rsidR="00F102CC" w:rsidRPr="003D5AF6" w:rsidRDefault="001E4396">
            <w:pPr>
              <w:rPr>
                <w:rFonts w:ascii="Noto Sans" w:eastAsia="Noto Sans" w:hAnsi="Noto Sans" w:cs="Noto Sans"/>
                <w:bCs/>
                <w:color w:val="434343"/>
                <w:sz w:val="18"/>
                <w:szCs w:val="18"/>
              </w:rPr>
            </w:pPr>
            <w:r w:rsidRPr="001E4396">
              <w:rPr>
                <w:rFonts w:ascii="Noto Sans" w:eastAsia="Noto Sans" w:hAnsi="Noto Sans" w:cs="Noto Sans"/>
                <w:bCs/>
                <w:color w:val="434343"/>
                <w:sz w:val="18"/>
                <w:szCs w:val="18"/>
              </w:rPr>
              <w:t>Female C57BL/6JJcl mice were purchased from CLEA Japan (Tokyo, Japan). Six-week-old mice were used for the infection experiment (Figure 6-figure supplement 1).</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71645401" w:rsidR="00F102CC" w:rsidRPr="003D5AF6" w:rsidRDefault="001E4396">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0BD2FC40" w:rsidR="00F102CC" w:rsidRPr="003D5AF6" w:rsidRDefault="001E4396">
            <w:pPr>
              <w:rPr>
                <w:rFonts w:ascii="Noto Sans" w:eastAsia="Noto Sans" w:hAnsi="Noto Sans" w:cs="Noto Sans"/>
                <w:bCs/>
                <w:color w:val="434343"/>
                <w:sz w:val="18"/>
                <w:szCs w:val="18"/>
              </w:rPr>
            </w:pPr>
            <w:r>
              <w:rPr>
                <w:rFonts w:ascii="Noto Sans" w:eastAsia="Noto Sans" w:hAnsi="Noto Sans" w:cs="Noto Sans"/>
                <w:bCs/>
                <w:color w:val="434343"/>
                <w:sz w:val="18"/>
                <w:szCs w:val="18"/>
              </w:rPr>
              <w:t>N/S</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7E829C97" w14:textId="77777777" w:rsidR="001E4396" w:rsidRPr="001E4396" w:rsidRDefault="001E4396" w:rsidP="001E4396">
            <w:pPr>
              <w:rPr>
                <w:rFonts w:ascii="Noto Sans" w:eastAsia="Noto Sans" w:hAnsi="Noto Sans" w:cs="Noto Sans"/>
                <w:bCs/>
                <w:color w:val="434343"/>
                <w:sz w:val="18"/>
                <w:szCs w:val="18"/>
              </w:rPr>
            </w:pPr>
            <w:r w:rsidRPr="001E4396">
              <w:rPr>
                <w:rFonts w:ascii="Noto Sans" w:eastAsia="Noto Sans" w:hAnsi="Noto Sans" w:cs="Noto Sans"/>
                <w:bCs/>
                <w:color w:val="434343"/>
                <w:sz w:val="18"/>
                <w:szCs w:val="18"/>
              </w:rPr>
              <w:t>A total of eleven strains were used in this study, including nine clinical strains isolated from patients with MAC-PD in Japan (M.i.198, M.i.27, M018, M003, M019, M021, M001, M005, M016), M. intracellulare genovar paraintracellulare type strain MOTT64 isolated from MAC-PD in South Korea and the M. intracellulare type strain ATCC13950 (Fig. 1, Supplementary Table 1). All eleven clinical strains from MAC-PD patients in Japan were isolated from sputum.</w:t>
            </w:r>
          </w:p>
          <w:p w14:paraId="73BE54FF" w14:textId="77777777" w:rsidR="001E4396" w:rsidRPr="001E4396" w:rsidRDefault="001E4396" w:rsidP="001E4396">
            <w:pPr>
              <w:rPr>
                <w:rFonts w:ascii="Noto Sans" w:eastAsia="Noto Sans" w:hAnsi="Noto Sans" w:cs="Noto Sans"/>
                <w:bCs/>
                <w:color w:val="434343"/>
                <w:sz w:val="18"/>
                <w:szCs w:val="18"/>
              </w:rPr>
            </w:pPr>
            <w:r w:rsidRPr="001E4396">
              <w:rPr>
                <w:rFonts w:ascii="Noto Sans" w:eastAsia="Noto Sans" w:hAnsi="Noto Sans" w:cs="Noto Sans"/>
                <w:bCs/>
                <w:color w:val="434343"/>
                <w:sz w:val="18"/>
                <w:szCs w:val="18"/>
              </w:rPr>
              <w:t>https://link.springer.com/article/10.1186/s12866-023-02831-y</w:t>
            </w:r>
          </w:p>
          <w:p w14:paraId="67CFBC7C" w14:textId="77777777" w:rsidR="001E4396" w:rsidRPr="001E4396" w:rsidRDefault="001E4396" w:rsidP="001E4396">
            <w:pPr>
              <w:rPr>
                <w:rFonts w:ascii="Noto Sans" w:eastAsia="Noto Sans" w:hAnsi="Noto Sans" w:cs="Noto Sans"/>
                <w:bCs/>
                <w:color w:val="434343"/>
                <w:sz w:val="18"/>
                <w:szCs w:val="18"/>
              </w:rPr>
            </w:pPr>
            <w:r w:rsidRPr="001E4396">
              <w:rPr>
                <w:rFonts w:ascii="Noto Sans" w:eastAsia="Noto Sans" w:hAnsi="Noto Sans" w:cs="Noto Sans"/>
                <w:bCs/>
                <w:color w:val="434343"/>
                <w:sz w:val="18"/>
                <w:szCs w:val="18"/>
              </w:rPr>
              <w:t>https://journals.asm.org/doi/10.1128/jb.00752-12</w:t>
            </w:r>
          </w:p>
          <w:p w14:paraId="4AA8ECCC" w14:textId="277ED902" w:rsidR="00F102CC" w:rsidRPr="003D5AF6" w:rsidRDefault="001E4396" w:rsidP="001E4396">
            <w:pPr>
              <w:rPr>
                <w:rFonts w:ascii="Noto Sans" w:eastAsia="Noto Sans" w:hAnsi="Noto Sans" w:cs="Noto Sans"/>
                <w:bCs/>
                <w:color w:val="434343"/>
                <w:sz w:val="18"/>
                <w:szCs w:val="18"/>
              </w:rPr>
            </w:pPr>
            <w:r w:rsidRPr="001E4396">
              <w:rPr>
                <w:rFonts w:ascii="Noto Sans" w:eastAsia="Noto Sans" w:hAnsi="Noto Sans" w:cs="Noto Sans"/>
                <w:bCs/>
                <w:color w:val="434343"/>
                <w:sz w:val="18"/>
                <w:szCs w:val="18"/>
              </w:rPr>
              <w:t>https://link.springer.com/article/</w:t>
            </w:r>
            <w:r w:rsidRPr="001E4396">
              <w:rPr>
                <w:rFonts w:ascii="Noto Sans" w:eastAsia="Noto Sans" w:hAnsi="Noto Sans" w:cs="Noto Sans"/>
                <w:bCs/>
                <w:color w:val="434343"/>
                <w:sz w:val="18"/>
                <w:szCs w:val="18"/>
              </w:rPr>
              <w:lastRenderedPageBreak/>
              <w:t>10.1186/s12866-021-02163-9</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7777777" w:rsidR="00F102CC" w:rsidRPr="003D5AF6" w:rsidRDefault="00F102CC">
            <w:pPr>
              <w:rPr>
                <w:rFonts w:ascii="Noto Sans" w:eastAsia="Noto Sans" w:hAnsi="Noto Sans" w:cs="Noto Sans"/>
                <w:bCs/>
                <w:color w:val="434343"/>
                <w:sz w:val="18"/>
                <w:szCs w:val="18"/>
              </w:rPr>
            </w:pP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78972B8B" w:rsidR="00F102CC" w:rsidRPr="001E4396" w:rsidRDefault="001E4396">
            <w:pPr>
              <w:rPr>
                <w:rFonts w:ascii="Noto Sans" w:eastAsia="Noto Sans" w:hAnsi="Noto Sans" w:cs="Noto Sans"/>
                <w:bCs/>
                <w:color w:val="434343"/>
                <w:sz w:val="18"/>
                <w:szCs w:val="18"/>
              </w:rPr>
            </w:pPr>
            <w:r w:rsidRPr="001E4396">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1E202A29" w:rsidR="00F102CC" w:rsidRPr="003D5AF6" w:rsidRDefault="001E439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598BD1D0" w:rsidR="00F102CC" w:rsidRPr="003D5AF6" w:rsidRDefault="001E439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6C46D03" w14:textId="2D57924F" w:rsidR="00F102CC" w:rsidRPr="003D5AF6" w:rsidRDefault="001E439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DB5D726" w14:textId="296D77E1" w:rsidR="00F102CC" w:rsidRPr="001E4396" w:rsidRDefault="001E4396">
            <w:pPr>
              <w:spacing w:line="225" w:lineRule="auto"/>
              <w:rPr>
                <w:rFonts w:ascii="Noto Sans" w:eastAsia="Noto Sans" w:hAnsi="Noto Sans" w:cs="Noto Sans"/>
                <w:bCs/>
                <w:color w:val="434343"/>
                <w:sz w:val="18"/>
                <w:szCs w:val="18"/>
              </w:rPr>
            </w:pPr>
            <w:r w:rsidRPr="001E4396">
              <w:rPr>
                <w:rFonts w:ascii="Noto Sans" w:eastAsia="Noto Sans" w:hAnsi="Noto Sans" w:cs="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7AE9083" w14:textId="254EF94D" w:rsidR="00F102CC" w:rsidRPr="003D5AF6" w:rsidRDefault="001E439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1057DC8" w14:textId="0EC4B49B" w:rsidR="00F102CC" w:rsidRPr="003D5AF6" w:rsidRDefault="001E439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lastRenderedPageBreak/>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F0CFE7C" w14:textId="092D201C" w:rsidR="00F102CC" w:rsidRPr="003D5AF6" w:rsidRDefault="001E4396">
            <w:pPr>
              <w:spacing w:line="225" w:lineRule="auto"/>
              <w:rPr>
                <w:rFonts w:ascii="Noto Sans" w:eastAsia="Noto Sans" w:hAnsi="Noto Sans" w:cs="Noto Sans"/>
                <w:bCs/>
                <w:color w:val="434343"/>
                <w:sz w:val="18"/>
                <w:szCs w:val="18"/>
              </w:rPr>
            </w:pPr>
            <w:r w:rsidRPr="001E4396">
              <w:rPr>
                <w:rFonts w:ascii="Noto Sans" w:eastAsia="Noto Sans" w:hAnsi="Noto Sans" w:cs="Noto Sans"/>
                <w:bCs/>
                <w:color w:val="434343"/>
                <w:sz w:val="18"/>
                <w:szCs w:val="18"/>
              </w:rPr>
              <w:t>Two independent experiments are performed for evaluation of the effect of the suppression of TnSeq-hit genes on the bacterial growth using the CRISPR-i system. Three independent experiments are performed for comparison of the timing of entry into logarithmic growth and logarithmic growth rate by the clinical M. intracellulare strains and ATCC13950</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3E8B9FB" w14:textId="74524770" w:rsidR="00F102CC" w:rsidRPr="003D5AF6" w:rsidRDefault="001E4396">
            <w:pPr>
              <w:spacing w:line="225" w:lineRule="auto"/>
              <w:rPr>
                <w:rFonts w:ascii="Noto Sans" w:eastAsia="Noto Sans" w:hAnsi="Noto Sans" w:cs="Noto Sans"/>
                <w:bCs/>
                <w:color w:val="434343"/>
                <w:sz w:val="18"/>
                <w:szCs w:val="18"/>
              </w:rPr>
            </w:pPr>
            <w:r w:rsidRPr="001E4396">
              <w:rPr>
                <w:rFonts w:ascii="Noto Sans" w:eastAsia="Noto Sans" w:hAnsi="Noto Sans" w:cs="Noto Sans"/>
                <w:bCs/>
                <w:color w:val="434343"/>
                <w:sz w:val="18"/>
                <w:szCs w:val="18"/>
              </w:rPr>
              <w:t>Data are described as technical replicates.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3CB3013" w14:textId="6E9129BD" w:rsidR="00F102CC" w:rsidRPr="001E4396" w:rsidRDefault="001E4396">
            <w:pPr>
              <w:spacing w:line="225" w:lineRule="auto"/>
              <w:rPr>
                <w:rFonts w:ascii="Noto Sans" w:eastAsia="Noto Sans" w:hAnsi="Noto Sans" w:cs="Noto Sans"/>
                <w:bCs/>
                <w:color w:val="434343"/>
                <w:sz w:val="18"/>
                <w:szCs w:val="18"/>
              </w:rPr>
            </w:pPr>
            <w:r w:rsidRPr="001E4396">
              <w:rPr>
                <w:rFonts w:ascii="Noto Sans" w:eastAsia="Noto Sans" w:hAnsi="Noto Sans" w:cs="Noto Sans"/>
                <w:bCs/>
                <w:color w:val="434343"/>
                <w:sz w:val="18"/>
                <w:szCs w:val="18"/>
              </w:rPr>
              <w:t>All experimental protocols were approved by the Institutional Review Board of Niigata University (approval numbers: 2019-0020 for the use of human tissue samples). All experiments on humans and human samples were conducted in accordance with relevant guidelines and regulations. Informed consent was obtained from all patients.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05003A7F" w14:textId="76223028" w:rsidR="00F102CC" w:rsidRPr="003D5AF6" w:rsidRDefault="00F102CC">
            <w:pPr>
              <w:spacing w:line="225" w:lineRule="auto"/>
              <w:rPr>
                <w:rFonts w:ascii="Noto Sans" w:eastAsia="Noto Sans" w:hAnsi="Noto Sans" w:cs="Noto Sans"/>
                <w:bCs/>
                <w:color w:val="434343"/>
                <w:sz w:val="18"/>
                <w:szCs w:val="18"/>
              </w:rPr>
            </w:pP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2A6BA9BD" w14:textId="469CC7B3" w:rsidR="00F102CC" w:rsidRPr="003D5AF6" w:rsidRDefault="001E4396">
            <w:pPr>
              <w:spacing w:line="225" w:lineRule="auto"/>
              <w:rPr>
                <w:rFonts w:ascii="Noto Sans" w:eastAsia="Noto Sans" w:hAnsi="Noto Sans" w:cs="Noto Sans"/>
                <w:bCs/>
                <w:color w:val="434343"/>
                <w:sz w:val="18"/>
                <w:szCs w:val="18"/>
              </w:rPr>
            </w:pPr>
            <w:r w:rsidRPr="001E4396">
              <w:rPr>
                <w:rFonts w:ascii="Noto Sans" w:eastAsia="Noto Sans" w:hAnsi="Noto Sans" w:cs="Noto Sans"/>
                <w:bCs/>
                <w:color w:val="434343"/>
                <w:sz w:val="18"/>
                <w:szCs w:val="18"/>
              </w:rPr>
              <w:t>All experimental protocols were approved by the Institutional Review Board of Niigata University (approval numbers: SA00506 for experiments on live vertebrates). All experiments on animals were conducted in accordance with the relevant guidelines and regulations, and the study complied with the ARRIVE guidelines.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1A59584D" w14:textId="1497E3DC" w:rsidR="00F102CC" w:rsidRPr="003D5AF6" w:rsidRDefault="001E4396">
            <w:pPr>
              <w:spacing w:line="225" w:lineRule="auto"/>
              <w:rPr>
                <w:rFonts w:ascii="Noto Sans" w:eastAsia="Noto Sans" w:hAnsi="Noto Sans" w:cs="Noto Sans"/>
                <w:bCs/>
                <w:color w:val="434343"/>
                <w:sz w:val="18"/>
                <w:szCs w:val="18"/>
              </w:rPr>
            </w:pPr>
            <w:r w:rsidRPr="001E4396">
              <w:rPr>
                <w:rFonts w:ascii="Noto Sans" w:eastAsia="Noto Sans" w:hAnsi="Noto Sans" w:cs="Noto Sans"/>
                <w:bCs/>
                <w:color w:val="434343"/>
                <w:sz w:val="18"/>
                <w:szCs w:val="18"/>
              </w:rPr>
              <w:t>All experimental protocols were approved by the Institutional Review Board of Niigata University (approval numbers: 2019-0020 for the use of human tissue samples). All experiments on humans and human samples were conducted in accordance with relevant guidelines and regulations. Informed consent was obtained from all patients.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09D4B66" w14:textId="77777777" w:rsidR="00F102CC" w:rsidRPr="003D5AF6" w:rsidRDefault="00F102CC">
            <w:pPr>
              <w:spacing w:line="225" w:lineRule="auto"/>
              <w:rPr>
                <w:rFonts w:ascii="Noto Sans" w:eastAsia="Noto Sans" w:hAnsi="Noto Sans" w:cs="Noto Sans"/>
                <w:bCs/>
                <w:color w:val="434343"/>
                <w:sz w:val="18"/>
                <w:szCs w:val="18"/>
              </w:rPr>
            </w:pPr>
          </w:p>
        </w:tc>
      </w:tr>
      <w:tr w:rsidR="00F102CC" w14:paraId="79A7C842"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9DDCC7B" w14:textId="27E2A2CD" w:rsidR="00F102CC" w:rsidRPr="003D5AF6" w:rsidRDefault="001E439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F182D3B" w14:textId="4A6E99BF" w:rsidR="00F102CC" w:rsidRPr="003D5AF6" w:rsidRDefault="001E439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4E0127B" w14:textId="150AE79C" w:rsidR="00F102CC" w:rsidRPr="003D5AF6" w:rsidRDefault="001E4396">
            <w:pPr>
              <w:spacing w:line="225" w:lineRule="auto"/>
              <w:rPr>
                <w:rFonts w:ascii="Noto Sans" w:eastAsia="Noto Sans" w:hAnsi="Noto Sans" w:cs="Noto Sans"/>
                <w:bCs/>
                <w:color w:val="434343"/>
                <w:sz w:val="18"/>
                <w:szCs w:val="18"/>
              </w:rPr>
            </w:pPr>
            <w:r w:rsidRPr="001E4396">
              <w:rPr>
                <w:rFonts w:ascii="Noto Sans" w:eastAsia="Noto Sans" w:hAnsi="Noto Sans" w:cs="Noto Sans"/>
                <w:bCs/>
                <w:color w:val="434343"/>
                <w:sz w:val="18"/>
                <w:szCs w:val="18"/>
              </w:rPr>
              <w:t>The cut-off of fold-change (log2FC) to compare genetic requirements by TnSeq resampling analysis was set as adjusted P-values less than 0.05. Pearson’s correlation test was performed between the fitness costs (log2FC calculated by the resampling assay), efficiency of knockdown (assessed by qRT-PCR) and growth suppression in the knockdown strains. Statistical analyses of the growth curves were performed using a 4-parameter logistic model (logistic 4P model), Wilcoxon two-sample test, and a one-way analysis of variance (ANOVA) followed by Steel’s multiple comparisons test using the JMP software program (SAS Institute Inc., Cary, NC, USA). Data are presented as the mean ± SD. Statistical significance was set as P values less than 0.05.</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4790A381" w14:textId="43DE602E" w:rsidR="00F102CC" w:rsidRPr="003D5AF6" w:rsidRDefault="001E4396">
            <w:pPr>
              <w:spacing w:line="225" w:lineRule="auto"/>
              <w:rPr>
                <w:rFonts w:ascii="Noto Sans" w:eastAsia="Noto Sans" w:hAnsi="Noto Sans" w:cs="Noto Sans"/>
                <w:bCs/>
                <w:color w:val="434343"/>
                <w:sz w:val="18"/>
                <w:szCs w:val="18"/>
              </w:rPr>
            </w:pPr>
            <w:r w:rsidRPr="001E4396">
              <w:rPr>
                <w:rFonts w:ascii="Noto Sans" w:eastAsia="Noto Sans" w:hAnsi="Noto Sans" w:cs="Noto Sans"/>
                <w:bCs/>
                <w:color w:val="434343"/>
                <w:sz w:val="18"/>
                <w:szCs w:val="18"/>
              </w:rPr>
              <w:t>The TnSeq sequencing datasets are openly available in the DDBJ Sequence Read Archive database with the primary accession numbers DRA017301.</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lastRenderedPageBreak/>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78FCD14D" w14:textId="19B1E8F8" w:rsidR="00F102CC" w:rsidRPr="003D5AF6" w:rsidRDefault="001E4396">
            <w:pPr>
              <w:spacing w:line="225" w:lineRule="auto"/>
              <w:rPr>
                <w:rFonts w:ascii="Noto Sans" w:eastAsia="Noto Sans" w:hAnsi="Noto Sans" w:cs="Noto Sans"/>
                <w:bCs/>
                <w:color w:val="434343"/>
                <w:sz w:val="18"/>
                <w:szCs w:val="18"/>
              </w:rPr>
            </w:pPr>
            <w:r w:rsidRPr="001E4396">
              <w:rPr>
                <w:rFonts w:ascii="Noto Sans" w:eastAsia="Noto Sans" w:hAnsi="Noto Sans" w:cs="Noto Sans"/>
                <w:bCs/>
                <w:color w:val="434343"/>
                <w:sz w:val="18"/>
                <w:szCs w:val="18"/>
              </w:rPr>
              <w:t>https://ddbj.nig.ac.jp/search/entry/sra-submission/DRA017301</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5423DA9" w14:textId="695CF381" w:rsidR="00F102CC" w:rsidRPr="003D5AF6" w:rsidRDefault="001E439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5034BAE5" w14:textId="03B3D56F" w:rsidR="00F102CC" w:rsidRPr="003D5AF6" w:rsidRDefault="001E439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B6875B8" w14:textId="250FA50B" w:rsidR="00F102CC" w:rsidRPr="003D5AF6" w:rsidRDefault="001E439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18D9987" w14:textId="643B66CB" w:rsidR="00F102CC" w:rsidRPr="003D5AF6" w:rsidRDefault="001E439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tcMar>
              <w:top w:w="100" w:type="dxa"/>
              <w:left w:w="100" w:type="dxa"/>
              <w:bottom w:w="100" w:type="dxa"/>
              <w:right w:w="100" w:type="dxa"/>
            </w:tcMar>
          </w:tcPr>
          <w:p w14:paraId="049881D3" w14:textId="03CC5864" w:rsidR="00F102CC" w:rsidRPr="003D5AF6" w:rsidRDefault="001E4396">
            <w:pPr>
              <w:spacing w:line="225" w:lineRule="auto"/>
              <w:rPr>
                <w:rFonts w:ascii="Noto Sans" w:eastAsia="Noto Sans" w:hAnsi="Noto Sans" w:cs="Noto Sans"/>
                <w:bCs/>
                <w:color w:val="434343"/>
                <w:sz w:val="18"/>
                <w:szCs w:val="18"/>
              </w:rPr>
            </w:pPr>
            <w:r w:rsidRPr="001E4396">
              <w:rPr>
                <w:rFonts w:ascii="Noto Sans" w:eastAsia="Noto Sans" w:hAnsi="Noto Sans" w:cs="Noto Sans"/>
                <w:bCs/>
                <w:color w:val="434343"/>
                <w:sz w:val="18"/>
                <w:szCs w:val="18"/>
              </w:rPr>
              <w:t>All experimental protocols were approved by the Institutional Review Board of Niigata University (approval numbers: 2019-0020 for the use of human tissue samples and SA00506 for experiments on live vertebrates). All experiments on humans and human samples were conducted in accordance with relevant guidelines and regulations. Informed consent was obtained from all patients. All experiments on animals were conducted in accordance with the relevant guidelines and regulations, and the study complied with the ARRIVE guidelines.</w:t>
            </w:r>
          </w:p>
        </w:tc>
        <w:tc>
          <w:tcPr>
            <w:tcW w:w="855" w:type="dxa"/>
            <w:tcBorders>
              <w:top w:val="nil"/>
              <w:left w:val="nil"/>
              <w:bottom w:val="single" w:sz="8" w:space="0" w:color="000000"/>
              <w:right w:val="single" w:sz="8" w:space="0" w:color="000000"/>
            </w:tcBorders>
            <w:tcMar>
              <w:top w:w="100" w:type="dxa"/>
              <w:left w:w="100" w:type="dxa"/>
              <w:bottom w:w="100" w:type="dxa"/>
              <w:right w:w="100" w:type="dxa"/>
            </w:tcMar>
          </w:tcPr>
          <w:p w14:paraId="69B93BA4" w14:textId="0522CE96" w:rsidR="00F102CC" w:rsidRPr="003D5AF6" w:rsidRDefault="00F102CC">
            <w:pPr>
              <w:spacing w:line="225" w:lineRule="auto"/>
              <w:rPr>
                <w:rFonts w:ascii="Noto Sans" w:eastAsia="Noto Sans" w:hAnsi="Noto Sans" w:cs="Noto Sans"/>
                <w:bCs/>
                <w:color w:val="434343"/>
                <w:sz w:val="18"/>
                <w:szCs w:val="18"/>
              </w:rPr>
            </w:pP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9B6BEB">
      <w:pPr>
        <w:spacing w:before="80"/>
      </w:pPr>
      <w:bookmarkStart w:id="3" w:name="_cm0qssfkw66b" w:colFirst="0" w:colLast="0"/>
      <w:bookmarkEnd w:id="3"/>
      <w:r>
        <w:rPr>
          <w:noProof/>
        </w:rPr>
        <w:pict w14:anchorId="00B7189D">
          <v:rect id="_x0000_i1025" alt="" style="width:451.3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B6184F" w14:textId="77777777" w:rsidR="009B6BEB" w:rsidRDefault="009B6BEB">
      <w:r>
        <w:separator/>
      </w:r>
    </w:p>
  </w:endnote>
  <w:endnote w:type="continuationSeparator" w:id="0">
    <w:p w14:paraId="5820B9D6" w14:textId="77777777" w:rsidR="009B6BEB" w:rsidRDefault="009B6B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6A58D2" w14:textId="77777777" w:rsidR="009B6BEB" w:rsidRDefault="009B6BEB">
      <w:r>
        <w:separator/>
      </w:r>
    </w:p>
  </w:footnote>
  <w:footnote w:type="continuationSeparator" w:id="0">
    <w:p w14:paraId="14B18FF0" w14:textId="77777777" w:rsidR="009B6BEB" w:rsidRDefault="009B6B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B3BCC"/>
    <w:rsid w:val="001E4396"/>
    <w:rsid w:val="002209A8"/>
    <w:rsid w:val="003A0182"/>
    <w:rsid w:val="003D5AF6"/>
    <w:rsid w:val="00400C53"/>
    <w:rsid w:val="00427975"/>
    <w:rsid w:val="004E2C31"/>
    <w:rsid w:val="005B0259"/>
    <w:rsid w:val="007054B6"/>
    <w:rsid w:val="0078687E"/>
    <w:rsid w:val="009B6BEB"/>
    <w:rsid w:val="009C7B26"/>
    <w:rsid w:val="00A11E52"/>
    <w:rsid w:val="00B2483D"/>
    <w:rsid w:val="00B93E8B"/>
    <w:rsid w:val="00BD41E9"/>
    <w:rsid w:val="00C84413"/>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2029</Words>
  <Characters>11569</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Rebecca Cook</cp:lastModifiedBy>
  <cp:revision>2</cp:revision>
  <dcterms:created xsi:type="dcterms:W3CDTF">2025-12-19T14:02:00Z</dcterms:created>
  <dcterms:modified xsi:type="dcterms:W3CDTF">2025-12-19T14:02:00Z</dcterms:modified>
</cp:coreProperties>
</file>