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7FC1B" w14:textId="77777777" w:rsidR="00B1577C" w:rsidRPr="00B1577C" w:rsidRDefault="00B1577C" w:rsidP="00B1577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10 Summary of P values for comparison of GluA1i/GluA2(R)</w:t>
      </w:r>
      <w:proofErr w:type="spellStart"/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>-G receptors when co-transfected with/without γ-2 or/and ABHD6.</w:t>
      </w:r>
    </w:p>
    <w:tbl>
      <w:tblPr>
        <w:tblStyle w:val="11"/>
        <w:tblW w:w="818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2536"/>
        <w:gridCol w:w="1858"/>
      </w:tblGrid>
      <w:tr w:rsidR="00B1577C" w:rsidRPr="00B1577C" w14:paraId="6C80B085" w14:textId="77777777" w:rsidTr="00681358"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409F4A63" w14:textId="77777777" w:rsidR="00B1577C" w:rsidRPr="00B1577C" w:rsidRDefault="00B1577C" w:rsidP="00B1577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9F582BE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GluA1i/GluA2(R)</w:t>
            </w:r>
            <w:proofErr w:type="spellStart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-G +ABHD6 </w:t>
            </w:r>
          </w:p>
          <w:p w14:paraId="1AA59781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vs. GluA1i/GluA2(R)</w:t>
            </w:r>
            <w:proofErr w:type="spellStart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vAlign w:val="center"/>
          </w:tcPr>
          <w:p w14:paraId="5DB1F997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GluA1i/GluA2(R)</w:t>
            </w:r>
            <w:proofErr w:type="spellStart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 +TARP γ-2 vs. GluA1i/GluA2(R)</w:t>
            </w:r>
            <w:proofErr w:type="spellStart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vAlign w:val="center"/>
          </w:tcPr>
          <w:p w14:paraId="0FC10BDF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GluA1i/GluA2(R)</w:t>
            </w:r>
            <w:proofErr w:type="spellStart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-G +TARP γ-2+ABHD6 </w:t>
            </w:r>
          </w:p>
          <w:p w14:paraId="7BF120B5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vs. GluA1i/GluA2(R)</w:t>
            </w:r>
            <w:proofErr w:type="spellStart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proofErr w:type="spellEnd"/>
            <w:r w:rsidRPr="00B1577C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-G +TARP γ-2</w:t>
            </w:r>
          </w:p>
        </w:tc>
      </w:tr>
      <w:tr w:rsidR="00B1577C" w:rsidRPr="00B1577C" w14:paraId="52AEE7AA" w14:textId="77777777" w:rsidTr="00681358">
        <w:trPr>
          <w:trHeight w:val="61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2000C665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8C7CFB4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P=0.01(*)</w:t>
            </w:r>
          </w:p>
        </w:tc>
        <w:tc>
          <w:tcPr>
            <w:tcW w:w="2536" w:type="dxa"/>
            <w:tcBorders>
              <w:top w:val="single" w:sz="4" w:space="0" w:color="auto"/>
            </w:tcBorders>
            <w:vAlign w:val="center"/>
          </w:tcPr>
          <w:p w14:paraId="04782361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P=0.007(**)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14:paraId="0FF204CD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</w:tr>
      <w:tr w:rsidR="00B1577C" w:rsidRPr="00B1577C" w14:paraId="6106A855" w14:textId="77777777" w:rsidTr="00681358">
        <w:tc>
          <w:tcPr>
            <w:tcW w:w="1384" w:type="dxa"/>
            <w:tcBorders>
              <w:top w:val="nil"/>
            </w:tcBorders>
            <w:vAlign w:val="center"/>
          </w:tcPr>
          <w:p w14:paraId="1AFA51A2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101A6469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P&gt;0.99(-)</w:t>
            </w:r>
          </w:p>
        </w:tc>
        <w:tc>
          <w:tcPr>
            <w:tcW w:w="2536" w:type="dxa"/>
            <w:tcBorders>
              <w:top w:val="nil"/>
            </w:tcBorders>
            <w:vAlign w:val="center"/>
          </w:tcPr>
          <w:p w14:paraId="5F8AB83B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nil"/>
            </w:tcBorders>
            <w:vAlign w:val="center"/>
          </w:tcPr>
          <w:p w14:paraId="67CA9017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P=0.03(*)</w:t>
            </w:r>
          </w:p>
        </w:tc>
      </w:tr>
      <w:tr w:rsidR="00B1577C" w:rsidRPr="00B1577C" w14:paraId="37E19E23" w14:textId="77777777" w:rsidTr="00681358"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5774A6E2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1331C6C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P=0.43(-)</w:t>
            </w:r>
          </w:p>
        </w:tc>
        <w:tc>
          <w:tcPr>
            <w:tcW w:w="2536" w:type="dxa"/>
            <w:tcBorders>
              <w:top w:val="nil"/>
              <w:bottom w:val="nil"/>
            </w:tcBorders>
            <w:vAlign w:val="center"/>
          </w:tcPr>
          <w:p w14:paraId="10D6196E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  <w:tc>
          <w:tcPr>
            <w:tcW w:w="1858" w:type="dxa"/>
            <w:tcBorders>
              <w:top w:val="nil"/>
              <w:bottom w:val="nil"/>
            </w:tcBorders>
            <w:vAlign w:val="center"/>
          </w:tcPr>
          <w:p w14:paraId="009A3B4D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P&lt;0.001(***)</w:t>
            </w:r>
          </w:p>
        </w:tc>
      </w:tr>
      <w:tr w:rsidR="00B1577C" w:rsidRPr="00B1577C" w14:paraId="316CD31B" w14:textId="77777777" w:rsidTr="00681358">
        <w:tc>
          <w:tcPr>
            <w:tcW w:w="1384" w:type="dxa"/>
            <w:tcBorders>
              <w:top w:val="nil"/>
              <w:bottom w:val="single" w:sz="4" w:space="0" w:color="auto"/>
            </w:tcBorders>
            <w:vAlign w:val="center"/>
          </w:tcPr>
          <w:p w14:paraId="657C8226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7499E483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P=0.0109(*)</w:t>
            </w:r>
          </w:p>
        </w:tc>
        <w:tc>
          <w:tcPr>
            <w:tcW w:w="2536" w:type="dxa"/>
            <w:tcBorders>
              <w:top w:val="nil"/>
              <w:bottom w:val="single" w:sz="4" w:space="0" w:color="auto"/>
            </w:tcBorders>
            <w:vAlign w:val="center"/>
          </w:tcPr>
          <w:p w14:paraId="4EE06755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P=0.0076(**)</w:t>
            </w:r>
          </w:p>
        </w:tc>
        <w:tc>
          <w:tcPr>
            <w:tcW w:w="1858" w:type="dxa"/>
            <w:tcBorders>
              <w:top w:val="nil"/>
              <w:bottom w:val="single" w:sz="4" w:space="0" w:color="auto"/>
            </w:tcBorders>
            <w:vAlign w:val="center"/>
          </w:tcPr>
          <w:p w14:paraId="11E8F788" w14:textId="77777777" w:rsidR="00B1577C" w:rsidRPr="00B1577C" w:rsidRDefault="00B1577C" w:rsidP="00B1577C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1577C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P=0.0011(**)</w:t>
            </w:r>
          </w:p>
        </w:tc>
      </w:tr>
    </w:tbl>
    <w:p w14:paraId="36EB7D37" w14:textId="77777777" w:rsidR="00B1577C" w:rsidRPr="00B1577C" w:rsidRDefault="00B1577C" w:rsidP="00B1577C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Peak amplitude, </w:t>
      </w:r>
      <w:r w:rsidRPr="00B1577C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B1577C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577C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τ </w:t>
      </w:r>
      <w:r w:rsidRPr="00B1577C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τ </w:t>
      </w:r>
      <w:r w:rsidRPr="00B1577C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GluA1i/GluA2(R)</w:t>
      </w:r>
      <w:proofErr w:type="spellStart"/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>i</w:t>
      </w:r>
      <w:proofErr w:type="spellEnd"/>
      <w:r w:rsidRPr="00B1577C">
        <w:rPr>
          <w:rFonts w:ascii="Times New Roman" w:eastAsia="宋体" w:hAnsi="Times New Roman" w:cs="Times New Roman"/>
          <w:color w:val="000000"/>
          <w:sz w:val="24"/>
          <w:szCs w:val="24"/>
        </w:rPr>
        <w:t>-G when co-transfected with/without γ-2 or/and ABHD6. The data were analyzed using Prism 8 (GraphPad Software), and each P value was adjusted to account for multiple comparisons.</w:t>
      </w:r>
    </w:p>
    <w:p w14:paraId="6E7043AF" w14:textId="77777777" w:rsidR="006B6E7E" w:rsidRPr="00B1577C" w:rsidRDefault="006B6E7E">
      <w:pPr>
        <w:rPr>
          <w:rFonts w:hint="eastAsia"/>
        </w:rPr>
      </w:pPr>
    </w:p>
    <w:sectPr w:rsidR="006B6E7E" w:rsidRPr="00B1577C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7C"/>
    <w:rsid w:val="003E52EE"/>
    <w:rsid w:val="006B6E7E"/>
    <w:rsid w:val="007872C2"/>
    <w:rsid w:val="00B1577C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2932E"/>
  <w15:chartTrackingRefBased/>
  <w15:docId w15:val="{ED87C946-4C47-41AF-B133-BF43A9FE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7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7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77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77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77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77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77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77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7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5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5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577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577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577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57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57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57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57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5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7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57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57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57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57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57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57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57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577C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B15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B15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657</Characters>
  <Application>Microsoft Office Word</Application>
  <DocSecurity>0</DocSecurity>
  <Lines>12</Lines>
  <Paragraphs>4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2026-07-07T16:31:00Z</dcterms:created>
  <dcterms:modified xsi:type="dcterms:W3CDTF">2026-07-07T16:31:00Z</dcterms:modified>
</cp:coreProperties>
</file>