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3EB2" w14:textId="77777777" w:rsidR="00BD1A36" w:rsidRPr="00967E81" w:rsidRDefault="00BD1A36" w:rsidP="00BD1A36">
      <w:pPr>
        <w:rPr>
          <w:rFonts w:ascii="Calibri" w:hAnsi="Calibri" w:cs="Calibri"/>
          <w:sz w:val="24"/>
          <w:szCs w:val="24"/>
        </w:rPr>
      </w:pPr>
      <w:r w:rsidRPr="00967E81">
        <w:rPr>
          <w:rFonts w:ascii="Calibri" w:hAnsi="Calibri" w:cs="Calibri"/>
          <w:noProof/>
          <w:sz w:val="24"/>
          <w:szCs w:val="24"/>
        </w:rPr>
        <w:drawing>
          <wp:inline distT="0" distB="0" distL="0" distR="0" wp14:anchorId="4103826C" wp14:editId="050228A7">
            <wp:extent cx="5669915" cy="2273935"/>
            <wp:effectExtent l="0" t="0" r="0" b="0"/>
            <wp:docPr id="1476951681" name="Picture 85" descr="A group of colored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51681" name="Picture 85" descr="A group of colored rectangl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9915" cy="2273935"/>
                    </a:xfrm>
                    <a:prstGeom prst="rect">
                      <a:avLst/>
                    </a:prstGeom>
                    <a:noFill/>
                  </pic:spPr>
                </pic:pic>
              </a:graphicData>
            </a:graphic>
          </wp:inline>
        </w:drawing>
      </w:r>
    </w:p>
    <w:p w14:paraId="0FFEE77E" w14:textId="3FB29475" w:rsidR="00E50EC0" w:rsidRPr="00967E81" w:rsidRDefault="00E62462" w:rsidP="00BD1A36">
      <w:pPr>
        <w:widowControl w:val="0"/>
        <w:contextualSpacing/>
        <w:jc w:val="both"/>
        <w:rPr>
          <w:rFonts w:ascii="Calibri" w:hAnsi="Calibri" w:cs="Calibri"/>
          <w:sz w:val="24"/>
          <w:szCs w:val="24"/>
        </w:rPr>
      </w:pPr>
      <w:r w:rsidRPr="00967E81">
        <w:rPr>
          <w:rFonts w:ascii="Calibri" w:hAnsi="Calibri" w:cs="Calibri"/>
          <w:b/>
          <w:bCs/>
          <w:sz w:val="24"/>
          <w:szCs w:val="24"/>
        </w:rPr>
        <w:t>Supplemental File 6</w:t>
      </w:r>
      <w:r w:rsidR="00BD1A36" w:rsidRPr="00967E81">
        <w:rPr>
          <w:rFonts w:ascii="Calibri" w:hAnsi="Calibri" w:cs="Calibri"/>
          <w:b/>
          <w:bCs/>
          <w:sz w:val="24"/>
          <w:szCs w:val="24"/>
        </w:rPr>
        <w:t xml:space="preserve">. Persister levels of </w:t>
      </w:r>
      <w:r w:rsidR="00BD1A36" w:rsidRPr="00967E81">
        <w:rPr>
          <w:rFonts w:ascii="Calibri" w:hAnsi="Calibri" w:cs="Calibri"/>
          <w:b/>
          <w:bCs/>
          <w:i/>
          <w:iCs/>
          <w:sz w:val="24"/>
          <w:szCs w:val="24"/>
        </w:rPr>
        <w:t>E. coli</w:t>
      </w:r>
      <w:r w:rsidR="00BD1A36" w:rsidRPr="00967E81">
        <w:rPr>
          <w:rFonts w:ascii="Calibri" w:hAnsi="Calibri" w:cs="Calibri"/>
          <w:b/>
          <w:bCs/>
          <w:sz w:val="24"/>
          <w:szCs w:val="24"/>
        </w:rPr>
        <w:t xml:space="preserve"> K-12 MG1655 WT, Δ</w:t>
      </w:r>
      <w:r w:rsidR="00BD1A36" w:rsidRPr="00967E81">
        <w:rPr>
          <w:rFonts w:ascii="Calibri" w:hAnsi="Calibri" w:cs="Calibri"/>
          <w:b/>
          <w:bCs/>
          <w:i/>
          <w:iCs/>
          <w:sz w:val="24"/>
          <w:szCs w:val="24"/>
        </w:rPr>
        <w:t>crp</w:t>
      </w:r>
      <w:r w:rsidR="00BD1A36" w:rsidRPr="00967E81">
        <w:rPr>
          <w:rFonts w:ascii="Calibri" w:hAnsi="Calibri" w:cs="Calibri"/>
          <w:b/>
          <w:bCs/>
          <w:sz w:val="24"/>
          <w:szCs w:val="24"/>
        </w:rPr>
        <w:t>, and Δ</w:t>
      </w:r>
      <w:r w:rsidR="00BD1A36" w:rsidRPr="00967E81">
        <w:rPr>
          <w:rFonts w:ascii="Calibri" w:hAnsi="Calibri" w:cs="Calibri"/>
          <w:b/>
          <w:bCs/>
          <w:i/>
          <w:iCs/>
          <w:sz w:val="24"/>
          <w:szCs w:val="24"/>
        </w:rPr>
        <w:t>cyaA</w:t>
      </w:r>
      <w:r w:rsidR="00BD1A36" w:rsidRPr="00967E81">
        <w:rPr>
          <w:rFonts w:ascii="Calibri" w:hAnsi="Calibri" w:cs="Calibri"/>
          <w:b/>
          <w:bCs/>
          <w:sz w:val="24"/>
          <w:szCs w:val="24"/>
        </w:rPr>
        <w:t xml:space="preserve"> strains in late stationary phase.</w:t>
      </w:r>
      <w:r w:rsidR="00BD1A36" w:rsidRPr="00967E81">
        <w:rPr>
          <w:rFonts w:ascii="Calibri" w:hAnsi="Calibri" w:cs="Calibri"/>
          <w:sz w:val="24"/>
          <w:szCs w:val="24"/>
        </w:rPr>
        <w:t xml:space="preserve"> Cells were treated with ampicillin (5× MIC for 4 h), ofloxacin (5× MIC for 2.5 h), and gentamicin (3× MIC for 1 h). Concentrations and treatment durations were selected based on </w:t>
      </w:r>
      <w:sdt>
        <w:sdtPr>
          <w:rPr>
            <w:rFonts w:ascii="Calibri" w:hAnsi="Calibri" w:cs="Calibri"/>
            <w:color w:val="000000"/>
            <w:sz w:val="24"/>
            <w:szCs w:val="24"/>
          </w:rPr>
          <w:tag w:val="MENDELEY_CITATION_v3_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"/>
          <w:id w:val="1445261225"/>
          <w:placeholder>
            <w:docPart w:val="DefaultPlaceholder_-1854013440"/>
          </w:placeholder>
        </w:sdtPr>
        <w:sdtEndPr/>
        <w:sdtContent>
          <w:r w:rsidR="002E2A98" w:rsidRPr="00967E81">
            <w:rPr>
              <w:rFonts w:ascii="Calibri" w:hAnsi="Calibri" w:cs="Calibri"/>
              <w:color w:val="000000"/>
              <w:sz w:val="24"/>
              <w:szCs w:val="24"/>
            </w:rPr>
            <w:t>(Zeng et al., 2022)</w:t>
          </w:r>
        </w:sdtContent>
      </w:sdt>
      <w:r w:rsidR="00BD1A36" w:rsidRPr="00967E81">
        <w:rPr>
          <w:rFonts w:ascii="Calibri" w:hAnsi="Calibri" w:cs="Calibri"/>
          <w:sz w:val="24"/>
          <w:szCs w:val="24"/>
        </w:rPr>
        <w:t xml:space="preserve">. n=4. Statistical significance was observed between control and mutant </w:t>
      </w:r>
      <w:proofErr w:type="gramStart"/>
      <w:r w:rsidR="00BD1A36" w:rsidRPr="00967E81">
        <w:rPr>
          <w:rFonts w:ascii="Calibri" w:hAnsi="Calibri" w:cs="Calibri"/>
          <w:sz w:val="24"/>
          <w:szCs w:val="24"/>
        </w:rPr>
        <w:t>strains (*</w:t>
      </w:r>
      <w:proofErr w:type="gramEnd"/>
      <w:r w:rsidR="00BD1A36" w:rsidRPr="00967E81">
        <w:rPr>
          <w:rFonts w:ascii="Calibri" w:hAnsi="Calibri" w:cs="Calibri"/>
          <w:sz w:val="24"/>
          <w:szCs w:val="24"/>
        </w:rPr>
        <w:t>***P &lt; 0.0001, One-way ANOVA with Dunnett’s multiple comparisons test). The data for each time point represent the mean value ± standard deviation.</w:t>
      </w:r>
    </w:p>
    <w:p w14:paraId="29A4F5E0" w14:textId="2A9AD42C" w:rsidR="002907A0" w:rsidRPr="00967E81" w:rsidRDefault="002907A0" w:rsidP="002907A0">
      <w:pPr>
        <w:rPr>
          <w:rFonts w:ascii="Calibri" w:hAnsi="Calibri" w:cs="Calibri"/>
          <w:sz w:val="24"/>
          <w:szCs w:val="24"/>
        </w:rPr>
      </w:pPr>
    </w:p>
    <w:sectPr w:rsidR="002907A0" w:rsidRPr="00967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C8"/>
    <w:rsid w:val="002907A0"/>
    <w:rsid w:val="002E2A98"/>
    <w:rsid w:val="0038051A"/>
    <w:rsid w:val="00681CF6"/>
    <w:rsid w:val="008B4033"/>
    <w:rsid w:val="00967E81"/>
    <w:rsid w:val="00B669A5"/>
    <w:rsid w:val="00BB5F53"/>
    <w:rsid w:val="00BD1A36"/>
    <w:rsid w:val="00D5000D"/>
    <w:rsid w:val="00D732C8"/>
    <w:rsid w:val="00DD6EBD"/>
    <w:rsid w:val="00E07B6A"/>
    <w:rsid w:val="00E50EC0"/>
    <w:rsid w:val="00E62462"/>
    <w:rsid w:val="00E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DE95"/>
  <w15:chartTrackingRefBased/>
  <w15:docId w15:val="{53401B20-ABD2-4CFE-9973-5D9346C2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36"/>
    <w:rPr>
      <w:rFonts w:asciiTheme="minorHAnsi" w:hAnsiTheme="minorHAnsi" w:cstheme="minorBidi"/>
    </w:rPr>
  </w:style>
  <w:style w:type="paragraph" w:styleId="Heading1">
    <w:name w:val="heading 1"/>
    <w:basedOn w:val="Normal"/>
    <w:next w:val="Normal"/>
    <w:link w:val="Heading1Char"/>
    <w:uiPriority w:val="9"/>
    <w:qFormat/>
    <w:rsid w:val="00D73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32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32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2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2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2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2C8"/>
    <w:pPr>
      <w:spacing w:before="160"/>
      <w:jc w:val="center"/>
    </w:pPr>
    <w:rPr>
      <w:rFonts w:ascii="Calibri" w:hAnsi="Calibri" w:cs="Calibri"/>
      <w:i/>
      <w:iCs/>
      <w:color w:val="404040" w:themeColor="text1" w:themeTint="BF"/>
    </w:rPr>
  </w:style>
  <w:style w:type="character" w:customStyle="1" w:styleId="QuoteChar">
    <w:name w:val="Quote Char"/>
    <w:basedOn w:val="DefaultParagraphFont"/>
    <w:link w:val="Quote"/>
    <w:uiPriority w:val="29"/>
    <w:rsid w:val="00D732C8"/>
    <w:rPr>
      <w:i/>
      <w:iCs/>
      <w:color w:val="404040" w:themeColor="text1" w:themeTint="BF"/>
    </w:rPr>
  </w:style>
  <w:style w:type="paragraph" w:styleId="ListParagraph">
    <w:name w:val="List Paragraph"/>
    <w:basedOn w:val="Normal"/>
    <w:uiPriority w:val="34"/>
    <w:qFormat/>
    <w:rsid w:val="00D732C8"/>
    <w:pPr>
      <w:ind w:left="720"/>
      <w:contextualSpacing/>
    </w:pPr>
    <w:rPr>
      <w:rFonts w:ascii="Calibri" w:hAnsi="Calibri" w:cs="Calibri"/>
    </w:rPr>
  </w:style>
  <w:style w:type="character" w:styleId="IntenseEmphasis">
    <w:name w:val="Intense Emphasis"/>
    <w:basedOn w:val="DefaultParagraphFont"/>
    <w:uiPriority w:val="21"/>
    <w:qFormat/>
    <w:rsid w:val="00D732C8"/>
    <w:rPr>
      <w:i/>
      <w:iCs/>
      <w:color w:val="0F4761" w:themeColor="accent1" w:themeShade="BF"/>
    </w:rPr>
  </w:style>
  <w:style w:type="paragraph" w:styleId="IntenseQuote">
    <w:name w:val="Intense Quote"/>
    <w:basedOn w:val="Normal"/>
    <w:next w:val="Normal"/>
    <w:link w:val="IntenseQuoteChar"/>
    <w:uiPriority w:val="30"/>
    <w:qFormat/>
    <w:rsid w:val="00D732C8"/>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Calibri"/>
      <w:i/>
      <w:iCs/>
      <w:color w:val="0F4761" w:themeColor="accent1" w:themeShade="BF"/>
    </w:rPr>
  </w:style>
  <w:style w:type="character" w:customStyle="1" w:styleId="IntenseQuoteChar">
    <w:name w:val="Intense Quote Char"/>
    <w:basedOn w:val="DefaultParagraphFont"/>
    <w:link w:val="IntenseQuote"/>
    <w:uiPriority w:val="30"/>
    <w:rsid w:val="00D732C8"/>
    <w:rPr>
      <w:i/>
      <w:iCs/>
      <w:color w:val="0F4761" w:themeColor="accent1" w:themeShade="BF"/>
    </w:rPr>
  </w:style>
  <w:style w:type="character" w:styleId="IntenseReference">
    <w:name w:val="Intense Reference"/>
    <w:basedOn w:val="DefaultParagraphFont"/>
    <w:uiPriority w:val="32"/>
    <w:qFormat/>
    <w:rsid w:val="00D732C8"/>
    <w:rPr>
      <w:b/>
      <w:bCs/>
      <w:smallCaps/>
      <w:color w:val="0F4761" w:themeColor="accent1" w:themeShade="BF"/>
      <w:spacing w:val="5"/>
    </w:rPr>
  </w:style>
  <w:style w:type="character" w:styleId="PlaceholderText">
    <w:name w:val="Placeholder Text"/>
    <w:basedOn w:val="DefaultParagraphFont"/>
    <w:uiPriority w:val="99"/>
    <w:semiHidden/>
    <w:rsid w:val="002E2A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E91F1E6-8C52-4D94-8C34-EEAC28025C36}"/>
      </w:docPartPr>
      <w:docPartBody>
        <w:p w:rsidR="009C2156" w:rsidRDefault="009C2156">
          <w:r w:rsidRPr="008C36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56"/>
    <w:rsid w:val="009C2156"/>
    <w:rsid w:val="00E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15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BE5612-77DE-48CE-9847-7ED063C95D4F}">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62d16876-8f32-46bc-a2d2-2a38d802f332&quot;,&quot;properties&quot;:{&quot;noteIndex&quot;:0},&quot;isEdited&quot;:false,&quot;manualOverride&quot;:{&quot;isManuallyOverridden&quot;:false,&quot;citeprocText&quot;:&quot;(Zeng et al., 2022)&quot;,&quot;manualOverrideText&quot;:&quot;&quot;},&quot;citationTag&quot;:&quot;MENDELEY_CITATION_v3_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&quot;,&quot;citationItems&quot;:[{&quot;id&quot;:&quot;d3decd2d-5222-33f9-bb4b-44188ced47fc&quot;,&quot;itemData&quot;:{&quot;type&quot;:&quot;article-journal&quot;,&quot;id&quot;:&quot;d3decd2d-5222-33f9-bb4b-44188ced47fc&quot;,&quot;title&quot;:&quot;A broadly applicable, stress-mediated bacterial death pathway regulated by the phosphotransferase system (PTS) and the cAMP-Crp cascade&quot;,&quot;author&quot;:[{&quot;family&quot;:&quot;Zeng&quot;,&quot;given&quot;:&quot;Jie&quot;,&quot;parse-names&quot;:false,&quot;dropping-particle&quot;:&quot;&quot;,&quot;non-dropping-particle&quot;:&quot;&quot;},{&quot;family&quot;:&quot;Hong&quot;,&quot;given&quot;:&quot;Yuzhi&quot;,&quot;parse-names&quot;:false,&quot;dropping-particle&quot;:&quot;&quot;,&quot;non-dropping-particle&quot;:&quot;&quot;},{&quot;family&quot;:&quot;Zhao&quot;,&quot;given&quot;:&quot;Ningqiu&quot;,&quot;parse-names&quot;:false,&quot;dropping-particle&quot;:&quot;&quot;,&quot;non-dropping-particle&quot;:&quot;&quot;},{&quot;family&quot;:&quot;Liu&quot;,&quot;given&quot;:&quot;Qianyu&quot;,&quot;parse-names&quot;:false,&quot;dropping-particle&quot;:&quot;&quot;,&quot;non-dropping-particle&quot;:&quot;&quot;},{&quot;family&quot;:&quot;Zhu&quot;,&quot;given&quot;:&quot;Weiwei&quot;,&quot;parse-names&quot;:false,&quot;dropping-particle&quot;:&quot;&quot;,&quot;non-dropping-particle&quot;:&quot;&quot;},{&quot;family&quot;:&quot;Xiao&quot;,&quot;given&quot;:&quot;Lisheng&quot;,&quot;parse-names&quot;:false,&quot;dropping-particle&quot;:&quot;&quot;,&quot;non-dropping-particle&quot;:&quot;&quot;},{&quot;family&quot;:&quot;Wang&quot;,&quot;given&quot;:&quot;Weijie&quot;,&quot;parse-names&quot;:false,&quot;dropping-particle&quot;:&quot;&quot;,&quot;non-dropping-particle&quot;:&quot;&quot;},{&quot;family&quot;:&quot;Chen&quot;,&quot;given&quot;:&quot;Miaomiao&quot;,&quot;parse-names&quot;:false,&quot;dropping-particle&quot;:&quot;&quot;,&quot;non-dropping-particle&quot;:&quot;&quot;},{&quot;family&quot;:&quot;Hong&quot;,&quot;given&quot;:&quot;Shouqiang&quot;,&quot;parse-names&quot;:false,&quot;dropping-particle&quot;:&quot;&quot;,&quot;non-dropping-particle&quot;:&quot;&quot;},{&quot;family&quot;:&quot;Wu&quot;,&quot;given&quot;:&quot;Liwen&quot;,&quot;parse-names&quot;:false,&quot;dropping-particle&quot;:&quot;&quot;,&quot;non-dropping-particle&quot;:&quot;&quot;},{&quot;family&quot;:&quot;Xue&quot;,&quot;given&quot;:&quot;Yunxin&quot;,&quot;parse-names&quot;:false,&quot;dropping-particle&quot;:&quot;&quot;,&quot;non-dropping-particle&quot;:&quot;&quot;},{&quot;family&quot;:&quot;Wang&quot;,&quot;given&quot;:&quot;Dai&quot;,&quot;parse-names&quot;:false,&quot;dropping-particle&quot;:&quot;&quot;,&quot;non-dropping-particle&quot;:&quot;&quot;},{&quot;family&quot;:&quot;Niu&quot;,&quot;given&quot;:&quot;Jianjun&quot;,&quot;parse-names&quot;:false,&quot;dropping-particle&quot;:&quot;&quot;,&quot;non-dropping-particle&quot;:&quot;&quot;},{&quot;family&quot;:&quot;Drlica&quot;,&quot;given&quot;:&quot;Karl&quot;,&quot;parse-names&quot;:false,&quot;dropping-particle&quot;:&quot;&quot;,&quot;non-dropping-particle&quot;:&quot;&quot;},{&quot;family&quot;:&quot;Zhao&quot;,&quot;given&quot;:&quot;Xilin&quot;,&quot;parse-names&quot;:false,&quot;dropping-particle&quot;:&quot;&quot;,&quot;non-dropping-particle&quot;:&quot;&quot;}],&quot;container-title&quot;:&quot;Proceedings of the National Academy of Sciences&quot;,&quot;DOI&quot;:&quot;10.1073/pnas.2118566119&quot;,&quot;ISSN&quot;:&quot;0027-8424&quot;,&quot;issued&quot;:{&quot;date-parts&quot;:[[2022,6,7]]},&quot;abstract&quot;:&quot;&lt;p&gt;Finding that pan-tolerance derives from defects in carbohydrate regulation connects stress-mediated lesions with metabolic change, identifies a stable type of tolerance, and demonstrates a widely shared death response. Manipulation of the response should improve antimicrobial efficacy, preserve beneficial bacteria during antimicrobial use, and protect industrial bacteria from toxic products. Mutations in many genes can interfere with stress-mediated metabolism; thus, mutation to pan-tolerance could be a high-probability event. Finding that selection of tolerance to one lethal stressor confers tolerance to many, if not all, indicates that massive disinfectant consumption potentially undermines antimicrobial efficacy and immune defenses against pathogenic bacteria. Since pan-tolerance is hidden from current surveillance of resistance, the work indicates a need for facile methods to measure tolerance.&lt;/p&gt;&quot;,&quot;issue&quot;:&quot;23&quot;,&quot;volume&quot;:&quot;119&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F37E-1BD2-45B6-866C-10896956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460</Characters>
  <Application>Microsoft Office Word</Application>
  <DocSecurity>0</DocSecurity>
  <Lines>7</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Hanny</dc:creator>
  <cp:keywords/>
  <dc:description/>
  <cp:lastModifiedBy>Ngo, Hanny</cp:lastModifiedBy>
  <cp:revision>9</cp:revision>
  <dcterms:created xsi:type="dcterms:W3CDTF">2025-04-02T21:45:00Z</dcterms:created>
  <dcterms:modified xsi:type="dcterms:W3CDTF">2025-04-03T16:53:00Z</dcterms:modified>
</cp:coreProperties>
</file>